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E68B" w14:textId="77777777" w:rsidR="00995C63" w:rsidRPr="00424692" w:rsidRDefault="00000000" w:rsidP="00C338D8">
      <w:pPr>
        <w:pStyle w:val="Heading1"/>
        <w:ind w:left="0" w:right="4"/>
      </w:pPr>
      <w:r w:rsidRPr="00424692">
        <w:t>Supplementary</w:t>
      </w:r>
      <w:r w:rsidRPr="00424692">
        <w:rPr>
          <w:spacing w:val="-4"/>
        </w:rPr>
        <w:t xml:space="preserve"> </w:t>
      </w:r>
      <w:r w:rsidRPr="00424692">
        <w:t>File</w:t>
      </w:r>
    </w:p>
    <w:p w14:paraId="33705A9B" w14:textId="77777777" w:rsidR="00995C63" w:rsidRPr="00424692" w:rsidRDefault="00995C63" w:rsidP="00C338D8">
      <w:pPr>
        <w:pStyle w:val="BodyText"/>
        <w:ind w:right="4"/>
        <w:rPr>
          <w:b/>
          <w:sz w:val="30"/>
        </w:rPr>
      </w:pPr>
    </w:p>
    <w:p w14:paraId="7850CCAA" w14:textId="51E575BF" w:rsidR="00995C63" w:rsidRPr="00424692" w:rsidRDefault="00000000" w:rsidP="00C338D8">
      <w:pPr>
        <w:pStyle w:val="BodyText"/>
        <w:spacing w:before="230" w:line="360" w:lineRule="auto"/>
        <w:ind w:right="4"/>
        <w:jc w:val="both"/>
      </w:pPr>
      <w:r w:rsidRPr="00424692">
        <w:t xml:space="preserve">Supplement to: </w:t>
      </w:r>
      <w:proofErr w:type="spellStart"/>
      <w:r w:rsidR="00F4712C" w:rsidRPr="00424692">
        <w:t>Rosaudyn</w:t>
      </w:r>
      <w:proofErr w:type="spellEnd"/>
      <w:r w:rsidR="00F4712C" w:rsidRPr="00424692">
        <w:t xml:space="preserve"> R</w:t>
      </w:r>
      <w:r w:rsidR="008A3065" w:rsidRPr="00424692">
        <w:t xml:space="preserve">, </w:t>
      </w:r>
      <w:proofErr w:type="spellStart"/>
      <w:r w:rsidR="00F4712C" w:rsidRPr="00424692">
        <w:t>Mutiani</w:t>
      </w:r>
      <w:proofErr w:type="spellEnd"/>
      <w:r w:rsidR="00F4712C" w:rsidRPr="00424692">
        <w:t xml:space="preserve"> F</w:t>
      </w:r>
      <w:r w:rsidR="008A3065" w:rsidRPr="00424692">
        <w:t xml:space="preserve">, </w:t>
      </w:r>
      <w:proofErr w:type="spellStart"/>
      <w:r w:rsidR="00F4712C" w:rsidRPr="00424692">
        <w:t>Yuliati</w:t>
      </w:r>
      <w:proofErr w:type="spellEnd"/>
      <w:r w:rsidR="00F4712C" w:rsidRPr="00424692">
        <w:t xml:space="preserve"> I</w:t>
      </w:r>
      <w:r w:rsidR="008A3065" w:rsidRPr="00424692">
        <w:t xml:space="preserve">, </w:t>
      </w:r>
      <w:proofErr w:type="spellStart"/>
      <w:r w:rsidR="00F4712C" w:rsidRPr="00424692">
        <w:t>Indraprasta</w:t>
      </w:r>
      <w:proofErr w:type="spellEnd"/>
      <w:r w:rsidR="00F4712C" w:rsidRPr="00424692">
        <w:t xml:space="preserve"> BR</w:t>
      </w:r>
      <w:r w:rsidR="008A3065" w:rsidRPr="00424692">
        <w:t xml:space="preserve">. </w:t>
      </w:r>
      <w:r w:rsidR="00F4712C" w:rsidRPr="00424692">
        <w:t>Prognostic role of neutrophil-to-lymphocyte ratio and fibrinogen level</w:t>
      </w:r>
      <w:r w:rsidR="00C03729">
        <w:t>s</w:t>
      </w:r>
      <w:r w:rsidR="00F4712C" w:rsidRPr="00424692">
        <w:t xml:space="preserve"> according to the overall survival and progression-free survival in ovarian cancer: a meta-analysis and systematic review</w:t>
      </w:r>
      <w:r w:rsidRPr="00424692">
        <w:t>. Med J</w:t>
      </w:r>
      <w:r w:rsidRPr="00424692">
        <w:rPr>
          <w:spacing w:val="1"/>
        </w:rPr>
        <w:t xml:space="preserve"> </w:t>
      </w:r>
      <w:proofErr w:type="spellStart"/>
      <w:r w:rsidRPr="00424692">
        <w:t>Indones</w:t>
      </w:r>
      <w:proofErr w:type="spellEnd"/>
      <w:r w:rsidRPr="00424692">
        <w:t>.</w:t>
      </w:r>
      <w:r w:rsidRPr="00424692">
        <w:rPr>
          <w:spacing w:val="-2"/>
        </w:rPr>
        <w:t xml:space="preserve"> </w:t>
      </w:r>
      <w:r w:rsidRPr="00AB6219">
        <w:t>2023</w:t>
      </w:r>
      <w:r w:rsidR="00FF699D">
        <w:t>;32(2):86−97.</w:t>
      </w:r>
      <w:r w:rsidR="00503573" w:rsidRPr="00424692">
        <w:t xml:space="preserve"> </w:t>
      </w:r>
      <w:r w:rsidRPr="00424692">
        <w:t>DOI:10.13181/mji.oa.</w:t>
      </w:r>
      <w:r w:rsidR="008A3065" w:rsidRPr="00424692">
        <w:t>236</w:t>
      </w:r>
      <w:r w:rsidR="00F4712C" w:rsidRPr="00424692">
        <w:t>880</w:t>
      </w:r>
    </w:p>
    <w:p w14:paraId="4EC88639" w14:textId="77777777" w:rsidR="00995C63" w:rsidRPr="00424692" w:rsidRDefault="00995C63" w:rsidP="00C338D8">
      <w:pPr>
        <w:pStyle w:val="BodyText"/>
        <w:ind w:right="4"/>
        <w:rPr>
          <w:sz w:val="36"/>
        </w:rPr>
      </w:pPr>
    </w:p>
    <w:p w14:paraId="7DD22B45" w14:textId="77777777" w:rsidR="00995C63" w:rsidRPr="00424692" w:rsidRDefault="00000000" w:rsidP="00C338D8">
      <w:pPr>
        <w:pStyle w:val="BodyText"/>
        <w:ind w:right="4"/>
        <w:jc w:val="both"/>
      </w:pPr>
      <w:r w:rsidRPr="00424692">
        <w:t>This</w:t>
      </w:r>
      <w:r w:rsidRPr="00424692">
        <w:rPr>
          <w:spacing w:val="-1"/>
        </w:rPr>
        <w:t xml:space="preserve"> </w:t>
      </w:r>
      <w:r w:rsidRPr="00424692">
        <w:t>file</w:t>
      </w:r>
      <w:r w:rsidRPr="00424692">
        <w:rPr>
          <w:spacing w:val="-2"/>
        </w:rPr>
        <w:t xml:space="preserve"> </w:t>
      </w:r>
      <w:r w:rsidRPr="00424692">
        <w:t>provides further</w:t>
      </w:r>
      <w:r w:rsidRPr="00424692">
        <w:rPr>
          <w:spacing w:val="1"/>
        </w:rPr>
        <w:t xml:space="preserve"> </w:t>
      </w:r>
      <w:r w:rsidRPr="00424692">
        <w:t>information related</w:t>
      </w:r>
      <w:r w:rsidRPr="00424692">
        <w:rPr>
          <w:spacing w:val="-1"/>
        </w:rPr>
        <w:t xml:space="preserve"> </w:t>
      </w:r>
      <w:r w:rsidRPr="00424692">
        <w:t>to the</w:t>
      </w:r>
      <w:r w:rsidRPr="00424692">
        <w:rPr>
          <w:spacing w:val="-2"/>
        </w:rPr>
        <w:t xml:space="preserve"> </w:t>
      </w:r>
      <w:r w:rsidRPr="00424692">
        <w:t>study.</w:t>
      </w:r>
    </w:p>
    <w:p w14:paraId="02D2EBDC" w14:textId="77777777" w:rsidR="00995C63" w:rsidRPr="00424692" w:rsidRDefault="00995C63">
      <w:pPr>
        <w:jc w:val="both"/>
        <w:sectPr w:rsidR="00995C63" w:rsidRPr="00424692" w:rsidSect="00C338D8">
          <w:footerReference w:type="even" r:id="rId7"/>
          <w:footerReference w:type="default" r:id="rId8"/>
          <w:footerReference w:type="first" r:id="rId9"/>
          <w:type w:val="continuous"/>
          <w:pgSz w:w="12240" w:h="15840"/>
          <w:pgMar w:top="1440" w:right="1440" w:bottom="1440" w:left="1440" w:header="720" w:footer="720" w:gutter="0"/>
          <w:pgNumType w:start="0"/>
          <w:cols w:space="720"/>
          <w:docGrid w:linePitch="299"/>
        </w:sectPr>
      </w:pPr>
    </w:p>
    <w:p w14:paraId="70AEF8B6" w14:textId="77777777" w:rsidR="00995C63" w:rsidRPr="00424692" w:rsidRDefault="00000000" w:rsidP="00C338D8">
      <w:pPr>
        <w:pStyle w:val="Heading1"/>
        <w:ind w:left="0" w:right="4"/>
      </w:pPr>
      <w:r w:rsidRPr="00424692">
        <w:lastRenderedPageBreak/>
        <w:t>Supplementary</w:t>
      </w:r>
      <w:r w:rsidRPr="00424692">
        <w:rPr>
          <w:spacing w:val="-1"/>
        </w:rPr>
        <w:t xml:space="preserve"> </w:t>
      </w:r>
      <w:r w:rsidRPr="00424692">
        <w:t>Information</w:t>
      </w:r>
    </w:p>
    <w:p w14:paraId="61367215" w14:textId="4A39C68E" w:rsidR="00E52A78" w:rsidRPr="00424692" w:rsidRDefault="00E52A78" w:rsidP="00E52A78">
      <w:pPr>
        <w:pStyle w:val="Heading2"/>
        <w:spacing w:before="230"/>
        <w:ind w:left="0" w:right="4"/>
        <w:rPr>
          <w:sz w:val="30"/>
          <w:szCs w:val="30"/>
        </w:r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6"/>
        <w:gridCol w:w="511"/>
      </w:tblGrid>
      <w:tr w:rsidR="00E52A78" w:rsidRPr="00424692" w14:paraId="00E04813" w14:textId="77777777" w:rsidTr="00095EFE">
        <w:tc>
          <w:tcPr>
            <w:tcW w:w="9316" w:type="dxa"/>
          </w:tcPr>
          <w:p w14:paraId="5FA34F19" w14:textId="663475CF" w:rsidR="00E52A78" w:rsidRPr="00424692" w:rsidRDefault="00E52A78" w:rsidP="00E52A78">
            <w:pPr>
              <w:spacing w:before="137"/>
              <w:rPr>
                <w:b/>
                <w:bCs/>
                <w:sz w:val="24"/>
                <w:szCs w:val="24"/>
              </w:rPr>
            </w:pPr>
            <w:r w:rsidRPr="00424692">
              <w:rPr>
                <w:b/>
                <w:bCs/>
                <w:sz w:val="24"/>
                <w:szCs w:val="24"/>
              </w:rPr>
              <w:t>Supplementary Tables</w:t>
            </w:r>
          </w:p>
        </w:tc>
        <w:tc>
          <w:tcPr>
            <w:tcW w:w="511" w:type="dxa"/>
          </w:tcPr>
          <w:p w14:paraId="171E4F98" w14:textId="77777777" w:rsidR="00E52A78" w:rsidRPr="00424692" w:rsidRDefault="00E52A78" w:rsidP="00E52A78">
            <w:pPr>
              <w:spacing w:before="137"/>
              <w:jc w:val="center"/>
              <w:rPr>
                <w:sz w:val="24"/>
                <w:szCs w:val="24"/>
              </w:rPr>
            </w:pPr>
          </w:p>
        </w:tc>
      </w:tr>
      <w:tr w:rsidR="00E52A78" w:rsidRPr="00424692" w14:paraId="08E582EB" w14:textId="77777777" w:rsidTr="00095EFE">
        <w:tc>
          <w:tcPr>
            <w:tcW w:w="9316" w:type="dxa"/>
          </w:tcPr>
          <w:p w14:paraId="3739A9D0" w14:textId="33CD9DDB" w:rsidR="00E52A78" w:rsidRPr="00424692" w:rsidRDefault="00E52A78" w:rsidP="00E52A78">
            <w:pPr>
              <w:spacing w:before="137"/>
              <w:rPr>
                <w:sz w:val="24"/>
                <w:szCs w:val="24"/>
              </w:rPr>
            </w:pPr>
            <w:r w:rsidRPr="00424692">
              <w:rPr>
                <w:b/>
                <w:bCs/>
                <w:sz w:val="24"/>
                <w:szCs w:val="24"/>
              </w:rPr>
              <w:t>Table S1.</w:t>
            </w:r>
            <w:r w:rsidRPr="00424692">
              <w:rPr>
                <w:sz w:val="24"/>
                <w:szCs w:val="24"/>
              </w:rPr>
              <w:t xml:space="preserve"> Characteristic of high NLR, and high plasma fibrinogen</w:t>
            </w:r>
          </w:p>
        </w:tc>
        <w:tc>
          <w:tcPr>
            <w:tcW w:w="511" w:type="dxa"/>
          </w:tcPr>
          <w:p w14:paraId="3A347126" w14:textId="35955F64" w:rsidR="00E52A78" w:rsidRPr="00424692" w:rsidRDefault="00E52A78" w:rsidP="00E52A78">
            <w:pPr>
              <w:spacing w:before="137"/>
              <w:jc w:val="center"/>
              <w:rPr>
                <w:sz w:val="24"/>
                <w:szCs w:val="24"/>
              </w:rPr>
            </w:pPr>
            <w:r w:rsidRPr="00424692">
              <w:rPr>
                <w:sz w:val="24"/>
                <w:szCs w:val="24"/>
              </w:rPr>
              <w:t>2</w:t>
            </w:r>
          </w:p>
        </w:tc>
      </w:tr>
      <w:tr w:rsidR="00E52A78" w:rsidRPr="00424692" w14:paraId="31764406" w14:textId="77777777" w:rsidTr="00095EFE">
        <w:tc>
          <w:tcPr>
            <w:tcW w:w="9316" w:type="dxa"/>
          </w:tcPr>
          <w:p w14:paraId="67DC291E" w14:textId="77777777" w:rsidR="00E52A78" w:rsidRPr="00424692" w:rsidRDefault="00E52A78" w:rsidP="00E52A78">
            <w:pPr>
              <w:spacing w:before="137"/>
              <w:rPr>
                <w:sz w:val="24"/>
                <w:szCs w:val="24"/>
              </w:rPr>
            </w:pPr>
          </w:p>
        </w:tc>
        <w:tc>
          <w:tcPr>
            <w:tcW w:w="511" w:type="dxa"/>
          </w:tcPr>
          <w:p w14:paraId="04224323" w14:textId="77777777" w:rsidR="00E52A78" w:rsidRPr="00424692" w:rsidRDefault="00E52A78" w:rsidP="00E52A78">
            <w:pPr>
              <w:spacing w:before="137"/>
              <w:jc w:val="center"/>
              <w:rPr>
                <w:sz w:val="24"/>
                <w:szCs w:val="24"/>
              </w:rPr>
            </w:pPr>
          </w:p>
        </w:tc>
      </w:tr>
      <w:tr w:rsidR="00E52A78" w:rsidRPr="00424692" w14:paraId="727C5390" w14:textId="77777777" w:rsidTr="00095EFE">
        <w:tc>
          <w:tcPr>
            <w:tcW w:w="9316" w:type="dxa"/>
          </w:tcPr>
          <w:p w14:paraId="211C5766" w14:textId="2A566EE5" w:rsidR="00E52A78" w:rsidRPr="00424692" w:rsidRDefault="00E52A78" w:rsidP="00E52A78">
            <w:pPr>
              <w:spacing w:before="137"/>
              <w:jc w:val="both"/>
              <w:rPr>
                <w:b/>
                <w:bCs/>
                <w:sz w:val="24"/>
                <w:szCs w:val="24"/>
              </w:rPr>
            </w:pPr>
            <w:r w:rsidRPr="00424692">
              <w:rPr>
                <w:b/>
                <w:bCs/>
                <w:sz w:val="24"/>
                <w:szCs w:val="24"/>
              </w:rPr>
              <w:t>Supplementary Figures</w:t>
            </w:r>
          </w:p>
        </w:tc>
        <w:tc>
          <w:tcPr>
            <w:tcW w:w="511" w:type="dxa"/>
          </w:tcPr>
          <w:p w14:paraId="5751A6E4" w14:textId="77777777" w:rsidR="00E52A78" w:rsidRPr="00424692" w:rsidRDefault="00E52A78" w:rsidP="00E52A78">
            <w:pPr>
              <w:spacing w:before="137"/>
              <w:jc w:val="center"/>
              <w:rPr>
                <w:sz w:val="24"/>
                <w:szCs w:val="24"/>
              </w:rPr>
            </w:pPr>
          </w:p>
        </w:tc>
      </w:tr>
      <w:tr w:rsidR="00E52A78" w:rsidRPr="00424692" w14:paraId="01BAF31E" w14:textId="77777777" w:rsidTr="00095EFE">
        <w:tc>
          <w:tcPr>
            <w:tcW w:w="9316" w:type="dxa"/>
          </w:tcPr>
          <w:p w14:paraId="269EBA3E" w14:textId="21CF1723" w:rsidR="00E52A78" w:rsidRPr="00424692" w:rsidRDefault="00E52A78" w:rsidP="00E52A78">
            <w:pPr>
              <w:spacing w:before="137"/>
              <w:rPr>
                <w:sz w:val="24"/>
                <w:szCs w:val="24"/>
              </w:rPr>
            </w:pPr>
            <w:r w:rsidRPr="00424692">
              <w:rPr>
                <w:b/>
                <w:bCs/>
                <w:sz w:val="24"/>
                <w:szCs w:val="24"/>
              </w:rPr>
              <w:t>Figure S1.</w:t>
            </w:r>
            <w:r w:rsidRPr="00424692">
              <w:rPr>
                <w:sz w:val="24"/>
                <w:szCs w:val="24"/>
              </w:rPr>
              <w:t xml:space="preserve"> Forest plots showing HR of </w:t>
            </w:r>
            <w:r w:rsidR="00610B7B">
              <w:rPr>
                <w:sz w:val="24"/>
                <w:szCs w:val="24"/>
              </w:rPr>
              <w:t>OS</w:t>
            </w:r>
            <w:r w:rsidRPr="00424692">
              <w:rPr>
                <w:sz w:val="24"/>
                <w:szCs w:val="24"/>
              </w:rPr>
              <w:t xml:space="preserve"> in multivariate analysis for NLR in subgroup analysis based on treatment specific including surgery</w:t>
            </w:r>
          </w:p>
        </w:tc>
        <w:tc>
          <w:tcPr>
            <w:tcW w:w="511" w:type="dxa"/>
          </w:tcPr>
          <w:p w14:paraId="325BAAF9" w14:textId="1600B47C" w:rsidR="00E52A78" w:rsidRPr="00424692" w:rsidRDefault="00E52A78" w:rsidP="00E52A78">
            <w:pPr>
              <w:spacing w:before="137"/>
              <w:jc w:val="center"/>
              <w:rPr>
                <w:sz w:val="24"/>
                <w:szCs w:val="24"/>
              </w:rPr>
            </w:pPr>
            <w:r w:rsidRPr="00424692">
              <w:rPr>
                <w:sz w:val="24"/>
                <w:szCs w:val="24"/>
              </w:rPr>
              <w:t>7</w:t>
            </w:r>
          </w:p>
        </w:tc>
      </w:tr>
      <w:tr w:rsidR="00E52A78" w:rsidRPr="00424692" w14:paraId="6633D29D" w14:textId="77777777" w:rsidTr="00095EFE">
        <w:tc>
          <w:tcPr>
            <w:tcW w:w="9316" w:type="dxa"/>
          </w:tcPr>
          <w:p w14:paraId="7C0D8582" w14:textId="40DB8F54" w:rsidR="00E52A78" w:rsidRPr="00424692" w:rsidRDefault="00E52A78" w:rsidP="00E52A78">
            <w:pPr>
              <w:spacing w:before="137"/>
              <w:rPr>
                <w:sz w:val="24"/>
                <w:szCs w:val="24"/>
              </w:rPr>
            </w:pPr>
            <w:r w:rsidRPr="00424692">
              <w:rPr>
                <w:b/>
                <w:bCs/>
                <w:sz w:val="24"/>
                <w:szCs w:val="24"/>
              </w:rPr>
              <w:t>Figure S2.</w:t>
            </w:r>
            <w:r w:rsidRPr="00424692">
              <w:rPr>
                <w:sz w:val="24"/>
                <w:szCs w:val="24"/>
              </w:rPr>
              <w:t xml:space="preserve"> Forest plots showing HR of </w:t>
            </w:r>
            <w:r w:rsidR="00610B7B">
              <w:rPr>
                <w:sz w:val="24"/>
                <w:szCs w:val="24"/>
              </w:rPr>
              <w:t>PFS</w:t>
            </w:r>
            <w:r w:rsidRPr="00424692">
              <w:rPr>
                <w:sz w:val="24"/>
                <w:szCs w:val="24"/>
              </w:rPr>
              <w:t xml:space="preserve"> in multivariate analysis for NLR in subgroup analysis based on treatment specific including surgery</w:t>
            </w:r>
          </w:p>
        </w:tc>
        <w:tc>
          <w:tcPr>
            <w:tcW w:w="511" w:type="dxa"/>
          </w:tcPr>
          <w:p w14:paraId="2DC7D49A" w14:textId="3418A614" w:rsidR="00E52A78" w:rsidRPr="00424692" w:rsidRDefault="00E52A78" w:rsidP="00E52A78">
            <w:pPr>
              <w:spacing w:before="137"/>
              <w:jc w:val="center"/>
              <w:rPr>
                <w:sz w:val="24"/>
                <w:szCs w:val="24"/>
              </w:rPr>
            </w:pPr>
            <w:r w:rsidRPr="00424692">
              <w:rPr>
                <w:sz w:val="24"/>
                <w:szCs w:val="24"/>
              </w:rPr>
              <w:t>7</w:t>
            </w:r>
          </w:p>
        </w:tc>
      </w:tr>
      <w:tr w:rsidR="00E52A78" w:rsidRPr="00424692" w14:paraId="42BEA840" w14:textId="77777777" w:rsidTr="00095EFE">
        <w:tc>
          <w:tcPr>
            <w:tcW w:w="9316" w:type="dxa"/>
          </w:tcPr>
          <w:p w14:paraId="6D23B37D" w14:textId="6576F15F" w:rsidR="00E52A78" w:rsidRPr="00424692" w:rsidRDefault="00E52A78" w:rsidP="00E52A78">
            <w:pPr>
              <w:spacing w:before="137"/>
              <w:rPr>
                <w:sz w:val="24"/>
                <w:szCs w:val="24"/>
              </w:rPr>
            </w:pPr>
            <w:r w:rsidRPr="00424692">
              <w:rPr>
                <w:b/>
                <w:bCs/>
                <w:sz w:val="24"/>
                <w:szCs w:val="24"/>
              </w:rPr>
              <w:t>Figure S3.</w:t>
            </w:r>
            <w:r w:rsidRPr="00424692">
              <w:rPr>
                <w:sz w:val="24"/>
                <w:szCs w:val="24"/>
              </w:rPr>
              <w:t xml:space="preserve"> Forest plots showing </w:t>
            </w:r>
            <w:r w:rsidR="00610B7B">
              <w:rPr>
                <w:sz w:val="24"/>
                <w:szCs w:val="24"/>
              </w:rPr>
              <w:t>HR</w:t>
            </w:r>
            <w:r w:rsidRPr="00424692">
              <w:rPr>
                <w:sz w:val="24"/>
                <w:szCs w:val="24"/>
              </w:rPr>
              <w:t xml:space="preserve"> of </w:t>
            </w:r>
            <w:r w:rsidR="00610B7B">
              <w:rPr>
                <w:sz w:val="24"/>
                <w:szCs w:val="24"/>
              </w:rPr>
              <w:t>OS</w:t>
            </w:r>
            <w:r w:rsidRPr="00424692">
              <w:rPr>
                <w:sz w:val="24"/>
                <w:szCs w:val="24"/>
              </w:rPr>
              <w:t xml:space="preserve"> in multivariate analysis for fibrinogen in subgroup analysis based on treatment specific including surgery</w:t>
            </w:r>
          </w:p>
        </w:tc>
        <w:tc>
          <w:tcPr>
            <w:tcW w:w="511" w:type="dxa"/>
          </w:tcPr>
          <w:p w14:paraId="0DA9B62E" w14:textId="2D9F9B1C" w:rsidR="00E52A78" w:rsidRPr="00424692" w:rsidRDefault="00E52A78" w:rsidP="00E52A78">
            <w:pPr>
              <w:spacing w:before="137"/>
              <w:jc w:val="center"/>
              <w:rPr>
                <w:sz w:val="24"/>
                <w:szCs w:val="24"/>
              </w:rPr>
            </w:pPr>
            <w:r w:rsidRPr="00424692">
              <w:rPr>
                <w:sz w:val="24"/>
                <w:szCs w:val="24"/>
              </w:rPr>
              <w:t>8</w:t>
            </w:r>
          </w:p>
        </w:tc>
      </w:tr>
      <w:tr w:rsidR="00E52A78" w:rsidRPr="00424692" w14:paraId="265A04D3" w14:textId="77777777" w:rsidTr="00095EFE">
        <w:tc>
          <w:tcPr>
            <w:tcW w:w="9316" w:type="dxa"/>
          </w:tcPr>
          <w:p w14:paraId="2749792A" w14:textId="1DACDBA5" w:rsidR="00E52A78" w:rsidRPr="00424692" w:rsidRDefault="00E52A78" w:rsidP="00E52A78">
            <w:pPr>
              <w:spacing w:before="137"/>
              <w:rPr>
                <w:sz w:val="24"/>
                <w:szCs w:val="24"/>
              </w:rPr>
            </w:pPr>
            <w:r w:rsidRPr="00424692">
              <w:rPr>
                <w:b/>
                <w:bCs/>
                <w:sz w:val="24"/>
                <w:szCs w:val="24"/>
              </w:rPr>
              <w:t>Figure S4.</w:t>
            </w:r>
            <w:r w:rsidRPr="00424692">
              <w:rPr>
                <w:sz w:val="24"/>
                <w:szCs w:val="24"/>
              </w:rPr>
              <w:t xml:space="preserve"> Forest plots showing </w:t>
            </w:r>
            <w:r w:rsidR="00610B7B">
              <w:rPr>
                <w:sz w:val="24"/>
                <w:szCs w:val="24"/>
              </w:rPr>
              <w:t>HR</w:t>
            </w:r>
            <w:r w:rsidRPr="00424692">
              <w:rPr>
                <w:sz w:val="24"/>
                <w:szCs w:val="24"/>
              </w:rPr>
              <w:t xml:space="preserve"> of </w:t>
            </w:r>
            <w:r w:rsidR="00610B7B">
              <w:rPr>
                <w:sz w:val="24"/>
                <w:szCs w:val="24"/>
              </w:rPr>
              <w:t>PFS</w:t>
            </w:r>
            <w:r w:rsidRPr="00424692">
              <w:rPr>
                <w:sz w:val="24"/>
                <w:szCs w:val="24"/>
              </w:rPr>
              <w:t xml:space="preserve"> in multivariate analysis for fibrinogen in subgroup analysis based on treatment specific including surgery</w:t>
            </w:r>
          </w:p>
        </w:tc>
        <w:tc>
          <w:tcPr>
            <w:tcW w:w="511" w:type="dxa"/>
          </w:tcPr>
          <w:p w14:paraId="48BA18E6" w14:textId="3EE55D7D" w:rsidR="00E52A78" w:rsidRPr="00424692" w:rsidRDefault="00E52A78" w:rsidP="00E52A78">
            <w:pPr>
              <w:spacing w:before="137"/>
              <w:jc w:val="center"/>
              <w:rPr>
                <w:sz w:val="24"/>
                <w:szCs w:val="24"/>
              </w:rPr>
            </w:pPr>
            <w:r w:rsidRPr="00424692">
              <w:rPr>
                <w:sz w:val="24"/>
                <w:szCs w:val="24"/>
              </w:rPr>
              <w:t>8</w:t>
            </w:r>
          </w:p>
        </w:tc>
      </w:tr>
      <w:tr w:rsidR="00E52A78" w:rsidRPr="00424692" w14:paraId="7714DB86" w14:textId="77777777" w:rsidTr="00095EFE">
        <w:tc>
          <w:tcPr>
            <w:tcW w:w="9316" w:type="dxa"/>
          </w:tcPr>
          <w:p w14:paraId="75081347" w14:textId="24F563D3" w:rsidR="00E52A78" w:rsidRPr="00424692" w:rsidRDefault="00E52A78" w:rsidP="00E52A78">
            <w:pPr>
              <w:spacing w:before="137"/>
              <w:rPr>
                <w:sz w:val="24"/>
                <w:szCs w:val="24"/>
              </w:rPr>
            </w:pPr>
            <w:r w:rsidRPr="00424692">
              <w:rPr>
                <w:b/>
                <w:sz w:val="24"/>
              </w:rPr>
              <w:t>Figure S5.</w:t>
            </w:r>
            <w:r w:rsidRPr="00424692">
              <w:rPr>
                <w:sz w:val="24"/>
              </w:rPr>
              <w:t xml:space="preserve"> Funnel plots of HR of NLR according to the OS in multivariate analyses (horizontal axis) and the SE for the HR (vertical axis)</w:t>
            </w:r>
          </w:p>
        </w:tc>
        <w:tc>
          <w:tcPr>
            <w:tcW w:w="511" w:type="dxa"/>
          </w:tcPr>
          <w:p w14:paraId="51D86E86" w14:textId="56CB9536" w:rsidR="00E52A78" w:rsidRPr="00424692" w:rsidRDefault="00610B7B" w:rsidP="00E52A78">
            <w:pPr>
              <w:spacing w:before="137"/>
              <w:jc w:val="center"/>
              <w:rPr>
                <w:sz w:val="24"/>
                <w:szCs w:val="24"/>
              </w:rPr>
            </w:pPr>
            <w:r>
              <w:rPr>
                <w:sz w:val="24"/>
                <w:szCs w:val="24"/>
              </w:rPr>
              <w:t>9</w:t>
            </w:r>
          </w:p>
        </w:tc>
      </w:tr>
      <w:tr w:rsidR="00E52A78" w:rsidRPr="00424692" w14:paraId="0FDADDA9" w14:textId="77777777" w:rsidTr="00095EFE">
        <w:tc>
          <w:tcPr>
            <w:tcW w:w="9316" w:type="dxa"/>
          </w:tcPr>
          <w:p w14:paraId="05FCC1B0" w14:textId="13FCBA75" w:rsidR="00E52A78" w:rsidRPr="00424692" w:rsidRDefault="00E52A78" w:rsidP="00E52A78">
            <w:pPr>
              <w:spacing w:before="137"/>
              <w:rPr>
                <w:sz w:val="24"/>
                <w:szCs w:val="24"/>
              </w:rPr>
            </w:pPr>
            <w:r w:rsidRPr="00424692">
              <w:rPr>
                <w:b/>
                <w:bCs/>
                <w:sz w:val="24"/>
                <w:szCs w:val="24"/>
              </w:rPr>
              <w:t>Figure S6.</w:t>
            </w:r>
            <w:r w:rsidRPr="00424692">
              <w:rPr>
                <w:sz w:val="24"/>
                <w:szCs w:val="24"/>
              </w:rPr>
              <w:t xml:space="preserve"> Funnel plots of HR of NLR according to the PFS in multivariate analyses (horizontal axis) and the SE for the HR (vertical axis)</w:t>
            </w:r>
          </w:p>
        </w:tc>
        <w:tc>
          <w:tcPr>
            <w:tcW w:w="511" w:type="dxa"/>
          </w:tcPr>
          <w:p w14:paraId="4C9F21A7" w14:textId="5F0E426F" w:rsidR="00E52A78" w:rsidRPr="00424692" w:rsidRDefault="00E52A78" w:rsidP="00E52A78">
            <w:pPr>
              <w:spacing w:before="137"/>
              <w:jc w:val="center"/>
              <w:rPr>
                <w:sz w:val="24"/>
                <w:szCs w:val="24"/>
              </w:rPr>
            </w:pPr>
            <w:r w:rsidRPr="00424692">
              <w:rPr>
                <w:sz w:val="24"/>
                <w:szCs w:val="24"/>
              </w:rPr>
              <w:t>9</w:t>
            </w:r>
          </w:p>
        </w:tc>
      </w:tr>
      <w:tr w:rsidR="00E52A78" w:rsidRPr="00424692" w14:paraId="5F413D2B" w14:textId="77777777" w:rsidTr="00095EFE">
        <w:tc>
          <w:tcPr>
            <w:tcW w:w="9316" w:type="dxa"/>
          </w:tcPr>
          <w:p w14:paraId="02818EC8" w14:textId="2E08786D" w:rsidR="00E52A78" w:rsidRPr="00424692" w:rsidRDefault="00E52A78" w:rsidP="00E52A78">
            <w:pPr>
              <w:spacing w:before="137"/>
              <w:rPr>
                <w:sz w:val="24"/>
                <w:szCs w:val="24"/>
              </w:rPr>
            </w:pPr>
            <w:r w:rsidRPr="00424692">
              <w:rPr>
                <w:b/>
                <w:bCs/>
                <w:sz w:val="24"/>
                <w:szCs w:val="24"/>
              </w:rPr>
              <w:t>Figure S7.</w:t>
            </w:r>
            <w:r w:rsidRPr="00424692">
              <w:rPr>
                <w:sz w:val="24"/>
                <w:szCs w:val="24"/>
              </w:rPr>
              <w:t xml:space="preserve"> Funnel plots of HR of plasma fibrinogen according to the OS in multivariate analyses (horizontal axis) and the SE for the HR (vertical axis)</w:t>
            </w:r>
          </w:p>
        </w:tc>
        <w:tc>
          <w:tcPr>
            <w:tcW w:w="511" w:type="dxa"/>
          </w:tcPr>
          <w:p w14:paraId="3F4F461B" w14:textId="7FD42A7F" w:rsidR="00E52A78" w:rsidRPr="00424692" w:rsidRDefault="00610B7B" w:rsidP="00E52A78">
            <w:pPr>
              <w:spacing w:before="137"/>
              <w:jc w:val="center"/>
              <w:rPr>
                <w:sz w:val="24"/>
                <w:szCs w:val="24"/>
              </w:rPr>
            </w:pPr>
            <w:r>
              <w:rPr>
                <w:sz w:val="24"/>
                <w:szCs w:val="24"/>
              </w:rPr>
              <w:t>10</w:t>
            </w:r>
          </w:p>
        </w:tc>
      </w:tr>
      <w:tr w:rsidR="00095EFE" w:rsidRPr="00424692" w14:paraId="269031D3" w14:textId="77777777" w:rsidTr="00095EFE">
        <w:tc>
          <w:tcPr>
            <w:tcW w:w="9316" w:type="dxa"/>
          </w:tcPr>
          <w:p w14:paraId="4DD38C5C" w14:textId="77777777" w:rsidR="00095EFE" w:rsidRPr="00424692" w:rsidRDefault="00095EFE" w:rsidP="00E52A78">
            <w:pPr>
              <w:spacing w:before="137"/>
              <w:rPr>
                <w:b/>
                <w:bCs/>
                <w:sz w:val="24"/>
                <w:szCs w:val="24"/>
              </w:rPr>
            </w:pPr>
          </w:p>
        </w:tc>
        <w:tc>
          <w:tcPr>
            <w:tcW w:w="511" w:type="dxa"/>
          </w:tcPr>
          <w:p w14:paraId="47BC86E7" w14:textId="77777777" w:rsidR="00095EFE" w:rsidRPr="00424692" w:rsidRDefault="00095EFE" w:rsidP="00E52A78">
            <w:pPr>
              <w:spacing w:before="137"/>
              <w:jc w:val="center"/>
              <w:rPr>
                <w:sz w:val="24"/>
                <w:szCs w:val="24"/>
              </w:rPr>
            </w:pPr>
          </w:p>
        </w:tc>
      </w:tr>
      <w:tr w:rsidR="00095EFE" w:rsidRPr="00424692" w14:paraId="60B5758B" w14:textId="77777777" w:rsidTr="00095EFE">
        <w:tc>
          <w:tcPr>
            <w:tcW w:w="9316" w:type="dxa"/>
          </w:tcPr>
          <w:p w14:paraId="7E61F908" w14:textId="323ABB14" w:rsidR="00095EFE" w:rsidRPr="00424692" w:rsidRDefault="00095EFE" w:rsidP="00E52A78">
            <w:pPr>
              <w:spacing w:before="137"/>
              <w:rPr>
                <w:b/>
                <w:bCs/>
                <w:sz w:val="24"/>
                <w:szCs w:val="24"/>
              </w:rPr>
            </w:pPr>
            <w:r>
              <w:rPr>
                <w:b/>
                <w:bCs/>
                <w:sz w:val="24"/>
                <w:szCs w:val="24"/>
              </w:rPr>
              <w:t>References</w:t>
            </w:r>
          </w:p>
        </w:tc>
        <w:tc>
          <w:tcPr>
            <w:tcW w:w="511" w:type="dxa"/>
          </w:tcPr>
          <w:p w14:paraId="0F9BA27E" w14:textId="0B983365" w:rsidR="00095EFE" w:rsidRPr="00424692" w:rsidRDefault="00095EFE" w:rsidP="00E52A78">
            <w:pPr>
              <w:spacing w:before="137"/>
              <w:jc w:val="center"/>
              <w:rPr>
                <w:sz w:val="24"/>
                <w:szCs w:val="24"/>
              </w:rPr>
            </w:pPr>
            <w:r>
              <w:rPr>
                <w:sz w:val="24"/>
                <w:szCs w:val="24"/>
              </w:rPr>
              <w:t>1</w:t>
            </w:r>
            <w:r w:rsidR="00610B7B">
              <w:rPr>
                <w:sz w:val="24"/>
                <w:szCs w:val="24"/>
              </w:rPr>
              <w:t>1</w:t>
            </w:r>
          </w:p>
        </w:tc>
      </w:tr>
    </w:tbl>
    <w:p w14:paraId="64EED661" w14:textId="77777777" w:rsidR="00E52A78" w:rsidRPr="00424692" w:rsidRDefault="00E52A78" w:rsidP="00E52A78">
      <w:pPr>
        <w:spacing w:before="137"/>
        <w:rPr>
          <w:sz w:val="24"/>
          <w:szCs w:val="24"/>
        </w:rPr>
      </w:pPr>
    </w:p>
    <w:p w14:paraId="15C5AF15" w14:textId="691CF3CA" w:rsidR="00CD4A51" w:rsidRPr="00424692" w:rsidRDefault="00CD4A51" w:rsidP="00CD4A51">
      <w:pPr>
        <w:sectPr w:rsidR="00CD4A51" w:rsidRPr="00424692" w:rsidSect="00E52A78">
          <w:pgSz w:w="12240" w:h="15840"/>
          <w:pgMar w:top="1440" w:right="1183" w:bottom="1440" w:left="1440" w:header="720" w:footer="720" w:gutter="0"/>
          <w:pgNumType w:start="1"/>
          <w:cols w:space="720"/>
        </w:sectPr>
      </w:pPr>
    </w:p>
    <w:p w14:paraId="7943A84B" w14:textId="344F8924" w:rsidR="00F4712C" w:rsidRPr="00424692" w:rsidRDefault="00F4712C" w:rsidP="00F4712C">
      <w:pPr>
        <w:spacing w:line="480" w:lineRule="auto"/>
        <w:ind w:left="2" w:hanging="2"/>
        <w:jc w:val="both"/>
        <w:rPr>
          <w:sz w:val="24"/>
        </w:rPr>
      </w:pPr>
      <w:r w:rsidRPr="00424692">
        <w:rPr>
          <w:b/>
          <w:sz w:val="24"/>
        </w:rPr>
        <w:lastRenderedPageBreak/>
        <w:t xml:space="preserve">Table S1. </w:t>
      </w:r>
      <w:r w:rsidRPr="00424692">
        <w:rPr>
          <w:bCs/>
          <w:sz w:val="24"/>
        </w:rPr>
        <w:t>Characteristic of high NLR and high plasma fibrinogen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600" w:firstRow="0" w:lastRow="0" w:firstColumn="0" w:lastColumn="0" w:noHBand="1" w:noVBand="1"/>
      </w:tblPr>
      <w:tblGrid>
        <w:gridCol w:w="2333"/>
        <w:gridCol w:w="1576"/>
        <w:gridCol w:w="981"/>
        <w:gridCol w:w="2256"/>
        <w:gridCol w:w="2256"/>
        <w:gridCol w:w="1389"/>
        <w:gridCol w:w="2217"/>
      </w:tblGrid>
      <w:tr w:rsidR="00F4712C" w:rsidRPr="00424692" w14:paraId="1CDF4D31" w14:textId="77777777" w:rsidTr="001E714D">
        <w:trPr>
          <w:trHeight w:hRule="exact" w:val="322"/>
        </w:trPr>
        <w:tc>
          <w:tcPr>
            <w:tcW w:w="897" w:type="pct"/>
            <w:vMerge w:val="restart"/>
            <w:tcBorders>
              <w:top w:val="single" w:sz="8" w:space="0" w:color="000000"/>
              <w:right w:val="single" w:sz="8" w:space="0" w:color="000000"/>
            </w:tcBorders>
            <w:vAlign w:val="center"/>
          </w:tcPr>
          <w:p w14:paraId="339C4F44" w14:textId="77777777" w:rsidR="00F4712C" w:rsidRPr="00424692" w:rsidRDefault="00F4712C" w:rsidP="00F4712C">
            <w:pPr>
              <w:ind w:left="2" w:hanging="2"/>
              <w:contextualSpacing/>
              <w:rPr>
                <w:bCs/>
                <w:sz w:val="24"/>
                <w:szCs w:val="24"/>
              </w:rPr>
            </w:pPr>
            <w:r w:rsidRPr="00424692">
              <w:rPr>
                <w:bCs/>
                <w:sz w:val="24"/>
                <w:szCs w:val="24"/>
              </w:rPr>
              <w:t>First author, year</w:t>
            </w:r>
          </w:p>
        </w:tc>
        <w:tc>
          <w:tcPr>
            <w:tcW w:w="606" w:type="pct"/>
            <w:vMerge w:val="restart"/>
            <w:tcBorders>
              <w:top w:val="single" w:sz="8" w:space="0" w:color="000000"/>
            </w:tcBorders>
            <w:vAlign w:val="center"/>
          </w:tcPr>
          <w:p w14:paraId="0E99ADA9" w14:textId="77777777" w:rsidR="00F4712C" w:rsidRPr="00424692" w:rsidRDefault="00F4712C" w:rsidP="00F4712C">
            <w:pPr>
              <w:ind w:left="2" w:hanging="2"/>
              <w:contextualSpacing/>
              <w:jc w:val="center"/>
              <w:rPr>
                <w:bCs/>
                <w:sz w:val="24"/>
                <w:szCs w:val="24"/>
              </w:rPr>
            </w:pPr>
            <w:r w:rsidRPr="00424692">
              <w:rPr>
                <w:bCs/>
                <w:sz w:val="24"/>
                <w:szCs w:val="24"/>
              </w:rPr>
              <w:t>Laboratory test data</w:t>
            </w:r>
          </w:p>
        </w:tc>
        <w:tc>
          <w:tcPr>
            <w:tcW w:w="3497" w:type="pct"/>
            <w:gridSpan w:val="5"/>
            <w:tcBorders>
              <w:top w:val="single" w:sz="8" w:space="0" w:color="000000"/>
              <w:bottom w:val="single" w:sz="8" w:space="0" w:color="000000"/>
              <w:right w:val="single" w:sz="8" w:space="0" w:color="000000"/>
            </w:tcBorders>
            <w:tcMar>
              <w:top w:w="0" w:type="dxa"/>
              <w:left w:w="40" w:type="dxa"/>
              <w:bottom w:w="0" w:type="dxa"/>
              <w:right w:w="40" w:type="dxa"/>
            </w:tcMar>
            <w:vAlign w:val="center"/>
          </w:tcPr>
          <w:p w14:paraId="38A7EA96" w14:textId="3C58B5C5" w:rsidR="00F4712C" w:rsidRPr="00424692" w:rsidRDefault="00F4712C" w:rsidP="00F4712C">
            <w:pPr>
              <w:ind w:left="2" w:hanging="2"/>
              <w:contextualSpacing/>
              <w:jc w:val="center"/>
              <w:rPr>
                <w:bCs/>
                <w:sz w:val="24"/>
                <w:szCs w:val="24"/>
              </w:rPr>
            </w:pPr>
            <w:r w:rsidRPr="00424692">
              <w:rPr>
                <w:bCs/>
                <w:sz w:val="24"/>
                <w:szCs w:val="24"/>
              </w:rPr>
              <w:t>High NLR or fibrinogen characteristic</w:t>
            </w:r>
          </w:p>
        </w:tc>
      </w:tr>
      <w:tr w:rsidR="00C03729" w:rsidRPr="00424692" w14:paraId="34B6598D" w14:textId="77777777" w:rsidTr="00C25667">
        <w:trPr>
          <w:trHeight w:val="1087"/>
        </w:trPr>
        <w:tc>
          <w:tcPr>
            <w:tcW w:w="897" w:type="pct"/>
            <w:vMerge/>
            <w:tcBorders>
              <w:right w:val="single" w:sz="8" w:space="0" w:color="000000"/>
            </w:tcBorders>
            <w:vAlign w:val="center"/>
          </w:tcPr>
          <w:p w14:paraId="3DA11C54" w14:textId="77777777" w:rsidR="00C03729" w:rsidRPr="00424692" w:rsidRDefault="00C03729" w:rsidP="00F4712C">
            <w:pPr>
              <w:ind w:left="2" w:hanging="2"/>
              <w:contextualSpacing/>
              <w:rPr>
                <w:bCs/>
                <w:sz w:val="24"/>
                <w:szCs w:val="24"/>
              </w:rPr>
            </w:pPr>
          </w:p>
        </w:tc>
        <w:tc>
          <w:tcPr>
            <w:tcW w:w="606" w:type="pct"/>
            <w:vMerge/>
            <w:vAlign w:val="center"/>
          </w:tcPr>
          <w:p w14:paraId="68C89FF3" w14:textId="77777777" w:rsidR="00C03729" w:rsidRPr="00424692" w:rsidRDefault="00C03729" w:rsidP="00F4712C">
            <w:pPr>
              <w:ind w:left="2" w:hanging="2"/>
              <w:contextualSpacing/>
              <w:jc w:val="center"/>
              <w:rPr>
                <w:bCs/>
                <w:sz w:val="24"/>
                <w:szCs w:val="24"/>
              </w:rPr>
            </w:pPr>
          </w:p>
        </w:tc>
        <w:tc>
          <w:tcPr>
            <w:tcW w:w="377" w:type="pct"/>
            <w:tcBorders>
              <w:top w:val="single" w:sz="8" w:space="0" w:color="000000"/>
              <w:right w:val="single" w:sz="8" w:space="0" w:color="000000"/>
            </w:tcBorders>
            <w:tcMar>
              <w:top w:w="0" w:type="dxa"/>
              <w:left w:w="100" w:type="dxa"/>
              <w:bottom w:w="0" w:type="dxa"/>
              <w:right w:w="100" w:type="dxa"/>
            </w:tcMar>
            <w:vAlign w:val="center"/>
          </w:tcPr>
          <w:p w14:paraId="73AD1A85" w14:textId="77777777" w:rsidR="00C03729" w:rsidRPr="00424692" w:rsidRDefault="00C03729" w:rsidP="00F4712C">
            <w:pPr>
              <w:ind w:left="2" w:hanging="2"/>
              <w:contextualSpacing/>
              <w:jc w:val="center"/>
              <w:rPr>
                <w:bCs/>
                <w:sz w:val="24"/>
                <w:szCs w:val="24"/>
              </w:rPr>
            </w:pPr>
            <w:r w:rsidRPr="00424692">
              <w:rPr>
                <w:bCs/>
                <w:sz w:val="24"/>
                <w:szCs w:val="24"/>
              </w:rPr>
              <w:t>n (%)</w:t>
            </w:r>
          </w:p>
        </w:tc>
        <w:tc>
          <w:tcPr>
            <w:tcW w:w="867" w:type="pct"/>
            <w:tcBorders>
              <w:top w:val="single" w:sz="8" w:space="0" w:color="000000"/>
              <w:right w:val="single" w:sz="8" w:space="0" w:color="000000"/>
            </w:tcBorders>
            <w:tcMar>
              <w:top w:w="0" w:type="dxa"/>
              <w:left w:w="40" w:type="dxa"/>
              <w:bottom w:w="0" w:type="dxa"/>
              <w:right w:w="40" w:type="dxa"/>
            </w:tcMar>
            <w:vAlign w:val="center"/>
          </w:tcPr>
          <w:p w14:paraId="52DF5A13" w14:textId="3FBC4D56" w:rsidR="00C03729" w:rsidRPr="00424692" w:rsidRDefault="00C03729" w:rsidP="00C03729">
            <w:pPr>
              <w:ind w:left="2" w:hanging="2"/>
              <w:contextualSpacing/>
              <w:jc w:val="center"/>
              <w:rPr>
                <w:bCs/>
                <w:sz w:val="24"/>
                <w:szCs w:val="24"/>
              </w:rPr>
            </w:pPr>
            <w:r w:rsidRPr="00424692">
              <w:rPr>
                <w:bCs/>
                <w:sz w:val="24"/>
                <w:szCs w:val="24"/>
              </w:rPr>
              <w:t>Age (years)</w:t>
            </w:r>
            <w:r>
              <w:rPr>
                <w:bCs/>
                <w:sz w:val="24"/>
                <w:szCs w:val="24"/>
              </w:rPr>
              <w:t>, m</w:t>
            </w:r>
            <w:r w:rsidRPr="00424692">
              <w:rPr>
                <w:bCs/>
                <w:sz w:val="24"/>
                <w:szCs w:val="24"/>
              </w:rPr>
              <w:t>edian/mean/ra</w:t>
            </w:r>
            <w:r>
              <w:rPr>
                <w:bCs/>
                <w:sz w:val="24"/>
                <w:szCs w:val="24"/>
              </w:rPr>
              <w:t>t</w:t>
            </w:r>
            <w:r w:rsidRPr="00424692">
              <w:rPr>
                <w:bCs/>
                <w:sz w:val="24"/>
                <w:szCs w:val="24"/>
              </w:rPr>
              <w:t>io (range/SD/n [%])</w:t>
            </w:r>
          </w:p>
        </w:tc>
        <w:tc>
          <w:tcPr>
            <w:tcW w:w="867" w:type="pct"/>
            <w:tcBorders>
              <w:top w:val="single" w:sz="8" w:space="0" w:color="000000"/>
              <w:right w:val="single" w:sz="8" w:space="0" w:color="000000"/>
            </w:tcBorders>
            <w:tcMar>
              <w:top w:w="0" w:type="dxa"/>
              <w:left w:w="40" w:type="dxa"/>
              <w:bottom w:w="0" w:type="dxa"/>
              <w:right w:w="40" w:type="dxa"/>
            </w:tcMar>
            <w:vAlign w:val="center"/>
          </w:tcPr>
          <w:p w14:paraId="5D8F6B2F" w14:textId="45513FA6" w:rsidR="00C03729" w:rsidRPr="00424692" w:rsidRDefault="00C03729" w:rsidP="00C03729">
            <w:pPr>
              <w:ind w:left="2" w:hanging="2"/>
              <w:contextualSpacing/>
              <w:jc w:val="center"/>
              <w:rPr>
                <w:bCs/>
                <w:sz w:val="24"/>
                <w:szCs w:val="24"/>
              </w:rPr>
            </w:pPr>
            <w:r w:rsidRPr="00424692">
              <w:rPr>
                <w:bCs/>
                <w:sz w:val="24"/>
                <w:szCs w:val="24"/>
              </w:rPr>
              <w:t>CA125 U/ml</w:t>
            </w:r>
            <w:r>
              <w:rPr>
                <w:bCs/>
                <w:sz w:val="24"/>
                <w:szCs w:val="24"/>
              </w:rPr>
              <w:t>, m</w:t>
            </w:r>
            <w:r w:rsidRPr="00424692">
              <w:rPr>
                <w:bCs/>
                <w:sz w:val="24"/>
                <w:szCs w:val="24"/>
              </w:rPr>
              <w:t>edian/mean/ra</w:t>
            </w:r>
            <w:r>
              <w:rPr>
                <w:bCs/>
                <w:sz w:val="24"/>
                <w:szCs w:val="24"/>
              </w:rPr>
              <w:t>t</w:t>
            </w:r>
            <w:r w:rsidRPr="00424692">
              <w:rPr>
                <w:bCs/>
                <w:sz w:val="24"/>
                <w:szCs w:val="24"/>
              </w:rPr>
              <w:t>io (range/SD/n [%])</w:t>
            </w:r>
          </w:p>
        </w:tc>
        <w:tc>
          <w:tcPr>
            <w:tcW w:w="534" w:type="pct"/>
            <w:tcBorders>
              <w:top w:val="single" w:sz="8" w:space="0" w:color="000000"/>
              <w:right w:val="single" w:sz="8" w:space="0" w:color="000000"/>
            </w:tcBorders>
            <w:tcMar>
              <w:top w:w="0" w:type="dxa"/>
              <w:left w:w="40" w:type="dxa"/>
              <w:bottom w:w="0" w:type="dxa"/>
              <w:right w:w="40" w:type="dxa"/>
            </w:tcMar>
            <w:vAlign w:val="center"/>
          </w:tcPr>
          <w:p w14:paraId="620FD392" w14:textId="30034A37" w:rsidR="00C03729" w:rsidRPr="00424692" w:rsidRDefault="00C03729" w:rsidP="00C03729">
            <w:pPr>
              <w:ind w:left="2" w:hanging="2"/>
              <w:contextualSpacing/>
              <w:jc w:val="center"/>
              <w:rPr>
                <w:bCs/>
                <w:sz w:val="24"/>
                <w:szCs w:val="24"/>
              </w:rPr>
            </w:pPr>
            <w:r w:rsidRPr="00424692">
              <w:rPr>
                <w:bCs/>
                <w:sz w:val="24"/>
                <w:szCs w:val="24"/>
              </w:rPr>
              <w:t>FIGO stage at diagnosis</w:t>
            </w:r>
            <w:r>
              <w:rPr>
                <w:bCs/>
                <w:sz w:val="24"/>
                <w:szCs w:val="24"/>
              </w:rPr>
              <w:t xml:space="preserve">, </w:t>
            </w:r>
            <w:r w:rsidRPr="00424692">
              <w:rPr>
                <w:bCs/>
                <w:sz w:val="24"/>
                <w:szCs w:val="24"/>
              </w:rPr>
              <w:t>n (%)</w:t>
            </w:r>
          </w:p>
        </w:tc>
        <w:tc>
          <w:tcPr>
            <w:tcW w:w="852" w:type="pct"/>
            <w:tcBorders>
              <w:top w:val="single" w:sz="8" w:space="0" w:color="000000"/>
              <w:right w:val="single" w:sz="8" w:space="0" w:color="000000"/>
            </w:tcBorders>
            <w:tcMar>
              <w:top w:w="0" w:type="dxa"/>
              <w:left w:w="40" w:type="dxa"/>
              <w:bottom w:w="0" w:type="dxa"/>
              <w:right w:w="40" w:type="dxa"/>
            </w:tcMar>
            <w:vAlign w:val="center"/>
          </w:tcPr>
          <w:p w14:paraId="3CEB94C0" w14:textId="2BF270A4" w:rsidR="00C03729" w:rsidRPr="00424692" w:rsidRDefault="00C03729" w:rsidP="00C03729">
            <w:pPr>
              <w:ind w:left="2" w:hanging="2"/>
              <w:contextualSpacing/>
              <w:jc w:val="center"/>
              <w:rPr>
                <w:bCs/>
                <w:sz w:val="24"/>
                <w:szCs w:val="24"/>
              </w:rPr>
            </w:pPr>
            <w:r w:rsidRPr="00424692">
              <w:rPr>
                <w:bCs/>
                <w:sz w:val="24"/>
                <w:szCs w:val="24"/>
              </w:rPr>
              <w:t>Histology</w:t>
            </w:r>
            <w:r>
              <w:rPr>
                <w:bCs/>
                <w:sz w:val="24"/>
                <w:szCs w:val="24"/>
              </w:rPr>
              <w:t xml:space="preserve">, </w:t>
            </w:r>
            <w:r w:rsidRPr="00424692">
              <w:rPr>
                <w:bCs/>
                <w:sz w:val="24"/>
                <w:szCs w:val="24"/>
              </w:rPr>
              <w:t>n (%)</w:t>
            </w:r>
          </w:p>
        </w:tc>
      </w:tr>
      <w:tr w:rsidR="008A28B5" w:rsidRPr="00424692" w14:paraId="1908559E" w14:textId="77777777" w:rsidTr="008A28B5">
        <w:trPr>
          <w:trHeight w:val="109"/>
        </w:trPr>
        <w:tc>
          <w:tcPr>
            <w:tcW w:w="897" w:type="pct"/>
            <w:tcBorders>
              <w:bottom w:val="single" w:sz="8" w:space="0" w:color="000000"/>
              <w:right w:val="single" w:sz="8" w:space="0" w:color="000000"/>
            </w:tcBorders>
            <w:vAlign w:val="center"/>
          </w:tcPr>
          <w:p w14:paraId="79B247AA" w14:textId="4587281C" w:rsidR="00F4712C" w:rsidRPr="00424692" w:rsidRDefault="00F4712C" w:rsidP="00F4712C">
            <w:pPr>
              <w:contextualSpacing/>
              <w:rPr>
                <w:bCs/>
                <w:sz w:val="24"/>
                <w:szCs w:val="24"/>
              </w:rPr>
            </w:pPr>
            <w:r w:rsidRPr="00424692">
              <w:rPr>
                <w:bCs/>
                <w:sz w:val="24"/>
                <w:szCs w:val="24"/>
              </w:rPr>
              <w:t>NLR</w:t>
            </w:r>
          </w:p>
        </w:tc>
        <w:tc>
          <w:tcPr>
            <w:tcW w:w="606" w:type="pct"/>
            <w:tcBorders>
              <w:bottom w:val="single" w:sz="8" w:space="0" w:color="000000"/>
            </w:tcBorders>
            <w:vAlign w:val="center"/>
          </w:tcPr>
          <w:p w14:paraId="47743AFF" w14:textId="77777777" w:rsidR="00F4712C" w:rsidRPr="00424692" w:rsidRDefault="00F4712C" w:rsidP="00F4712C">
            <w:pPr>
              <w:ind w:left="2" w:hanging="2"/>
              <w:contextualSpacing/>
              <w:jc w:val="center"/>
              <w:rPr>
                <w:bCs/>
                <w:sz w:val="24"/>
                <w:szCs w:val="24"/>
              </w:rPr>
            </w:pP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51081463" w14:textId="77777777" w:rsidR="00F4712C" w:rsidRPr="00424692" w:rsidRDefault="00F4712C" w:rsidP="00F4712C">
            <w:pPr>
              <w:ind w:left="2" w:hanging="2"/>
              <w:contextualSpacing/>
              <w:jc w:val="center"/>
              <w:rPr>
                <w:bCs/>
                <w:sz w:val="24"/>
                <w:szCs w:val="24"/>
              </w:rPr>
            </w:pPr>
          </w:p>
        </w:tc>
        <w:tc>
          <w:tcPr>
            <w:tcW w:w="867" w:type="pct"/>
            <w:tcBorders>
              <w:bottom w:val="single" w:sz="8" w:space="0" w:color="000000"/>
              <w:right w:val="single" w:sz="8" w:space="0" w:color="000000"/>
            </w:tcBorders>
            <w:tcMar>
              <w:top w:w="0" w:type="dxa"/>
              <w:left w:w="40" w:type="dxa"/>
              <w:bottom w:w="0" w:type="dxa"/>
              <w:right w:w="40" w:type="dxa"/>
            </w:tcMar>
            <w:vAlign w:val="center"/>
          </w:tcPr>
          <w:p w14:paraId="3E030C4E" w14:textId="77777777" w:rsidR="00F4712C" w:rsidRPr="00424692" w:rsidRDefault="00F4712C" w:rsidP="00F4712C">
            <w:pPr>
              <w:ind w:left="2" w:hanging="2"/>
              <w:contextualSpacing/>
              <w:jc w:val="center"/>
              <w:rPr>
                <w:bCs/>
                <w:sz w:val="24"/>
                <w:szCs w:val="24"/>
              </w:rPr>
            </w:pPr>
          </w:p>
        </w:tc>
        <w:tc>
          <w:tcPr>
            <w:tcW w:w="867" w:type="pct"/>
            <w:tcBorders>
              <w:bottom w:val="single" w:sz="8" w:space="0" w:color="000000"/>
              <w:right w:val="single" w:sz="8" w:space="0" w:color="000000"/>
            </w:tcBorders>
            <w:tcMar>
              <w:top w:w="0" w:type="dxa"/>
              <w:left w:w="40" w:type="dxa"/>
              <w:bottom w:w="0" w:type="dxa"/>
              <w:right w:w="40" w:type="dxa"/>
            </w:tcMar>
            <w:vAlign w:val="center"/>
          </w:tcPr>
          <w:p w14:paraId="15FBED39" w14:textId="77777777" w:rsidR="00F4712C" w:rsidRPr="00424692" w:rsidRDefault="00F4712C" w:rsidP="00F4712C">
            <w:pPr>
              <w:ind w:left="2" w:hanging="2"/>
              <w:contextualSpacing/>
              <w:jc w:val="center"/>
              <w:rPr>
                <w:bCs/>
                <w:sz w:val="24"/>
                <w:szCs w:val="24"/>
              </w:rPr>
            </w:pPr>
          </w:p>
        </w:tc>
        <w:tc>
          <w:tcPr>
            <w:tcW w:w="534" w:type="pct"/>
            <w:tcBorders>
              <w:bottom w:val="single" w:sz="8" w:space="0" w:color="000000"/>
              <w:right w:val="single" w:sz="8" w:space="0" w:color="000000"/>
            </w:tcBorders>
            <w:tcMar>
              <w:top w:w="0" w:type="dxa"/>
              <w:left w:w="40" w:type="dxa"/>
              <w:bottom w:w="0" w:type="dxa"/>
              <w:right w:w="40" w:type="dxa"/>
            </w:tcMar>
            <w:vAlign w:val="center"/>
          </w:tcPr>
          <w:p w14:paraId="7CC851DC" w14:textId="77777777" w:rsidR="00F4712C" w:rsidRPr="00424692" w:rsidRDefault="00F4712C" w:rsidP="00F4712C">
            <w:pPr>
              <w:ind w:left="2" w:hanging="2"/>
              <w:contextualSpacing/>
              <w:jc w:val="center"/>
              <w:rPr>
                <w:bCs/>
                <w:sz w:val="24"/>
                <w:szCs w:val="24"/>
              </w:rPr>
            </w:pPr>
          </w:p>
        </w:tc>
        <w:tc>
          <w:tcPr>
            <w:tcW w:w="852" w:type="pct"/>
            <w:tcBorders>
              <w:bottom w:val="single" w:sz="8" w:space="0" w:color="000000"/>
              <w:right w:val="single" w:sz="8" w:space="0" w:color="000000"/>
            </w:tcBorders>
            <w:tcMar>
              <w:top w:w="0" w:type="dxa"/>
              <w:left w:w="40" w:type="dxa"/>
              <w:bottom w:w="0" w:type="dxa"/>
              <w:right w:w="40" w:type="dxa"/>
            </w:tcMar>
            <w:vAlign w:val="center"/>
          </w:tcPr>
          <w:p w14:paraId="2BF960EE" w14:textId="77777777" w:rsidR="00F4712C" w:rsidRPr="00424692" w:rsidRDefault="00F4712C" w:rsidP="00E77770">
            <w:pPr>
              <w:pStyle w:val="ListParagraph"/>
              <w:widowControl/>
              <w:autoSpaceDE/>
              <w:autoSpaceDN/>
              <w:contextualSpacing/>
              <w:rPr>
                <w:bCs/>
                <w:sz w:val="24"/>
                <w:szCs w:val="24"/>
              </w:rPr>
            </w:pPr>
          </w:p>
        </w:tc>
      </w:tr>
      <w:tr w:rsidR="001E714D" w:rsidRPr="00424692" w14:paraId="45F72672" w14:textId="77777777" w:rsidTr="001E714D">
        <w:trPr>
          <w:trHeight w:val="846"/>
        </w:trPr>
        <w:tc>
          <w:tcPr>
            <w:tcW w:w="897" w:type="pct"/>
            <w:tcBorders>
              <w:bottom w:val="single" w:sz="8" w:space="0" w:color="000000"/>
              <w:right w:val="single" w:sz="8" w:space="0" w:color="000000"/>
            </w:tcBorders>
            <w:vAlign w:val="center"/>
          </w:tcPr>
          <w:p w14:paraId="19A9A748" w14:textId="1227C26A" w:rsidR="00F4712C" w:rsidRPr="00424692" w:rsidRDefault="00F4712C" w:rsidP="00F4712C">
            <w:pPr>
              <w:contextualSpacing/>
              <w:rPr>
                <w:rFonts w:eastAsia="Gungsuh"/>
                <w:bCs/>
                <w:sz w:val="24"/>
                <w:szCs w:val="24"/>
              </w:rPr>
            </w:pPr>
            <w:r w:rsidRPr="00424692">
              <w:rPr>
                <w:bCs/>
                <w:sz w:val="24"/>
                <w:szCs w:val="24"/>
              </w:rPr>
              <w:t>Henriksen,</w:t>
            </w:r>
            <w:r w:rsidRPr="00424692">
              <w:rPr>
                <w:bCs/>
                <w:sz w:val="24"/>
                <w:szCs w:val="24"/>
                <w:vertAlign w:val="superscript"/>
              </w:rPr>
              <w:t>1</w:t>
            </w:r>
            <w:r w:rsidRPr="00424692">
              <w:rPr>
                <w:bCs/>
                <w:sz w:val="24"/>
                <w:szCs w:val="24"/>
              </w:rPr>
              <w:t xml:space="preserve"> 2020</w:t>
            </w:r>
          </w:p>
        </w:tc>
        <w:tc>
          <w:tcPr>
            <w:tcW w:w="606" w:type="pct"/>
            <w:tcBorders>
              <w:bottom w:val="single" w:sz="8" w:space="0" w:color="000000"/>
            </w:tcBorders>
            <w:vAlign w:val="center"/>
          </w:tcPr>
          <w:p w14:paraId="1C8329D5" w14:textId="77777777" w:rsidR="00F4712C" w:rsidRPr="00424692" w:rsidRDefault="00F4712C" w:rsidP="00F4712C">
            <w:pPr>
              <w:ind w:left="2" w:hanging="2"/>
              <w:contextualSpacing/>
              <w:jc w:val="center"/>
              <w:rPr>
                <w:rFonts w:eastAsia="Gungsuh"/>
                <w:bCs/>
                <w:sz w:val="24"/>
                <w:szCs w:val="24"/>
              </w:rPr>
            </w:pPr>
            <w:r w:rsidRPr="00424692">
              <w:rPr>
                <w:bCs/>
                <w:sz w:val="24"/>
                <w:szCs w:val="24"/>
              </w:rPr>
              <w:t>Prior to treatment of recurrent disease</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6EE89E74" w14:textId="77777777" w:rsidR="00F4712C" w:rsidRPr="00424692" w:rsidRDefault="00F4712C" w:rsidP="00F4712C">
            <w:pPr>
              <w:ind w:left="2" w:hanging="2"/>
              <w:contextualSpacing/>
              <w:jc w:val="center"/>
              <w:rPr>
                <w:bCs/>
                <w:sz w:val="24"/>
                <w:szCs w:val="24"/>
              </w:rPr>
            </w:pPr>
            <w:r w:rsidRPr="00424692">
              <w:rPr>
                <w:bCs/>
                <w:sz w:val="24"/>
                <w:szCs w:val="24"/>
              </w:rPr>
              <w:t>35 (50.7)</w:t>
            </w:r>
          </w:p>
        </w:tc>
        <w:tc>
          <w:tcPr>
            <w:tcW w:w="867" w:type="pct"/>
            <w:tcBorders>
              <w:bottom w:val="single" w:sz="8" w:space="0" w:color="000000"/>
              <w:right w:val="single" w:sz="8" w:space="0" w:color="000000"/>
            </w:tcBorders>
            <w:tcMar>
              <w:top w:w="0" w:type="dxa"/>
              <w:left w:w="40" w:type="dxa"/>
              <w:bottom w:w="0" w:type="dxa"/>
              <w:right w:w="40" w:type="dxa"/>
            </w:tcMar>
            <w:vAlign w:val="center"/>
          </w:tcPr>
          <w:p w14:paraId="6D13AC51" w14:textId="00F0E2E1" w:rsidR="00F4712C" w:rsidRPr="00424692" w:rsidRDefault="00F4712C" w:rsidP="00F4712C">
            <w:pPr>
              <w:ind w:left="2" w:hanging="2"/>
              <w:contextualSpacing/>
              <w:jc w:val="center"/>
              <w:rPr>
                <w:bCs/>
                <w:sz w:val="24"/>
                <w:szCs w:val="24"/>
              </w:rPr>
            </w:pPr>
            <w:r w:rsidRPr="00424692">
              <w:rPr>
                <w:bCs/>
                <w:sz w:val="24"/>
                <w:szCs w:val="24"/>
              </w:rPr>
              <w:t>68 (47–92)</w:t>
            </w:r>
          </w:p>
        </w:tc>
        <w:tc>
          <w:tcPr>
            <w:tcW w:w="867" w:type="pct"/>
            <w:tcBorders>
              <w:bottom w:val="single" w:sz="8" w:space="0" w:color="000000"/>
              <w:right w:val="single" w:sz="8" w:space="0" w:color="000000"/>
            </w:tcBorders>
            <w:tcMar>
              <w:top w:w="0" w:type="dxa"/>
              <w:left w:w="40" w:type="dxa"/>
              <w:bottom w:w="0" w:type="dxa"/>
              <w:right w:w="40" w:type="dxa"/>
            </w:tcMar>
            <w:vAlign w:val="center"/>
          </w:tcPr>
          <w:p w14:paraId="26C69A16" w14:textId="200AC41C" w:rsidR="00F4712C" w:rsidRPr="00424692" w:rsidRDefault="00F4712C" w:rsidP="00F4712C">
            <w:pPr>
              <w:ind w:left="2" w:hanging="2"/>
              <w:contextualSpacing/>
              <w:jc w:val="center"/>
              <w:rPr>
                <w:bCs/>
                <w:sz w:val="24"/>
                <w:szCs w:val="24"/>
              </w:rPr>
            </w:pPr>
            <w:r w:rsidRPr="00424692">
              <w:rPr>
                <w:bCs/>
                <w:sz w:val="24"/>
                <w:szCs w:val="24"/>
              </w:rPr>
              <w:t>487 (6–30.1)</w:t>
            </w:r>
          </w:p>
        </w:tc>
        <w:tc>
          <w:tcPr>
            <w:tcW w:w="534" w:type="pct"/>
            <w:tcBorders>
              <w:bottom w:val="single" w:sz="8" w:space="0" w:color="000000"/>
              <w:right w:val="single" w:sz="8" w:space="0" w:color="000000"/>
            </w:tcBorders>
            <w:tcMar>
              <w:top w:w="0" w:type="dxa"/>
              <w:left w:w="40" w:type="dxa"/>
              <w:bottom w:w="0" w:type="dxa"/>
              <w:right w:w="40" w:type="dxa"/>
            </w:tcMar>
            <w:vAlign w:val="center"/>
          </w:tcPr>
          <w:p w14:paraId="2C11FECF" w14:textId="50C60C15" w:rsidR="00F4712C" w:rsidRPr="00424692" w:rsidRDefault="00F4712C"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0" w:type="dxa"/>
              <w:left w:w="40" w:type="dxa"/>
              <w:bottom w:w="0" w:type="dxa"/>
              <w:right w:w="40" w:type="dxa"/>
            </w:tcMar>
            <w:vAlign w:val="center"/>
          </w:tcPr>
          <w:p w14:paraId="4969033F" w14:textId="25585E04"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1. </w:t>
            </w:r>
            <w:r w:rsidR="00F4712C" w:rsidRPr="00424692">
              <w:rPr>
                <w:bCs/>
                <w:sz w:val="24"/>
                <w:szCs w:val="24"/>
              </w:rPr>
              <w:t>HGSC: 31 (88)</w:t>
            </w:r>
          </w:p>
          <w:p w14:paraId="5CAE5CA1" w14:textId="5D92B819"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2. </w:t>
            </w:r>
            <w:r w:rsidR="00F4712C" w:rsidRPr="00424692">
              <w:rPr>
                <w:bCs/>
                <w:sz w:val="24"/>
                <w:szCs w:val="24"/>
              </w:rPr>
              <w:t>LGSOC: 1 (3)</w:t>
            </w:r>
          </w:p>
          <w:p w14:paraId="2824770A" w14:textId="56F9A09F"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3. </w:t>
            </w:r>
            <w:r w:rsidR="00F4712C" w:rsidRPr="00424692">
              <w:rPr>
                <w:bCs/>
                <w:sz w:val="24"/>
                <w:szCs w:val="24"/>
              </w:rPr>
              <w:t>Endometrioid: 2 (6)</w:t>
            </w:r>
          </w:p>
          <w:p w14:paraId="19F7795A" w14:textId="5FDF4A0C"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4. </w:t>
            </w:r>
            <w:r w:rsidR="00F4712C" w:rsidRPr="00424692">
              <w:rPr>
                <w:bCs/>
                <w:sz w:val="24"/>
                <w:szCs w:val="24"/>
              </w:rPr>
              <w:t>Mucinous: 1 (3)</w:t>
            </w:r>
          </w:p>
        </w:tc>
      </w:tr>
      <w:tr w:rsidR="001E714D" w:rsidRPr="00424692" w14:paraId="40A67F85" w14:textId="77777777" w:rsidTr="008A28B5">
        <w:trPr>
          <w:trHeight w:val="1003"/>
        </w:trPr>
        <w:tc>
          <w:tcPr>
            <w:tcW w:w="897" w:type="pct"/>
            <w:tcBorders>
              <w:bottom w:val="single" w:sz="8" w:space="0" w:color="000000"/>
              <w:right w:val="single" w:sz="8" w:space="0" w:color="000000"/>
            </w:tcBorders>
            <w:vAlign w:val="center"/>
          </w:tcPr>
          <w:p w14:paraId="358AB875" w14:textId="7CE26CB7" w:rsidR="00F4712C" w:rsidRPr="00424692" w:rsidRDefault="00F4712C" w:rsidP="00F4712C">
            <w:pPr>
              <w:ind w:left="2" w:hanging="2"/>
              <w:contextualSpacing/>
              <w:rPr>
                <w:bCs/>
                <w:sz w:val="24"/>
                <w:szCs w:val="24"/>
              </w:rPr>
            </w:pPr>
            <w:r w:rsidRPr="00424692">
              <w:rPr>
                <w:bCs/>
                <w:sz w:val="24"/>
                <w:szCs w:val="24"/>
              </w:rPr>
              <w:t>Marchetti,</w:t>
            </w:r>
            <w:r w:rsidR="00095EFE">
              <w:rPr>
                <w:bCs/>
                <w:sz w:val="24"/>
                <w:szCs w:val="24"/>
                <w:vertAlign w:val="superscript"/>
              </w:rPr>
              <w:t>2</w:t>
            </w:r>
            <w:r w:rsidRPr="00424692">
              <w:rPr>
                <w:bCs/>
                <w:sz w:val="24"/>
                <w:szCs w:val="24"/>
              </w:rPr>
              <w:t xml:space="preserve"> 2021</w:t>
            </w:r>
          </w:p>
        </w:tc>
        <w:tc>
          <w:tcPr>
            <w:tcW w:w="606" w:type="pct"/>
            <w:tcBorders>
              <w:bottom w:val="single" w:sz="8" w:space="0" w:color="000000"/>
            </w:tcBorders>
            <w:vAlign w:val="center"/>
          </w:tcPr>
          <w:p w14:paraId="25D34090" w14:textId="77777777" w:rsidR="00F4712C" w:rsidRPr="00424692" w:rsidRDefault="00F4712C" w:rsidP="00F4712C">
            <w:pPr>
              <w:ind w:left="2" w:hanging="2"/>
              <w:contextualSpacing/>
              <w:jc w:val="center"/>
              <w:rPr>
                <w:bCs/>
                <w:sz w:val="24"/>
                <w:szCs w:val="24"/>
              </w:rPr>
            </w:pPr>
            <w:r w:rsidRPr="00424692">
              <w:rPr>
                <w:bCs/>
                <w:sz w:val="24"/>
                <w:szCs w:val="24"/>
              </w:rPr>
              <w:t>Prior to treatment</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3460A8E8" w14:textId="77777777" w:rsidR="00F4712C" w:rsidRPr="00424692" w:rsidRDefault="00F4712C" w:rsidP="00F4712C">
            <w:pPr>
              <w:ind w:left="2" w:hanging="2"/>
              <w:contextualSpacing/>
              <w:jc w:val="center"/>
              <w:rPr>
                <w:bCs/>
                <w:sz w:val="24"/>
                <w:szCs w:val="24"/>
              </w:rPr>
            </w:pPr>
            <w:r w:rsidRPr="00424692">
              <w:rPr>
                <w:bCs/>
                <w:sz w:val="24"/>
                <w:szCs w:val="24"/>
              </w:rPr>
              <w:t>201 (50.7)</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B3CA8E4" w14:textId="73EC47F4" w:rsidR="00F4712C" w:rsidRPr="00424692" w:rsidRDefault="00F4712C" w:rsidP="00F4712C">
            <w:pPr>
              <w:ind w:left="2" w:hanging="2"/>
              <w:contextualSpacing/>
              <w:jc w:val="center"/>
              <w:rPr>
                <w:bCs/>
                <w:sz w:val="24"/>
                <w:szCs w:val="24"/>
              </w:rPr>
            </w:pPr>
            <w:r w:rsidRPr="00424692">
              <w:rPr>
                <w:bCs/>
                <w:sz w:val="24"/>
                <w:szCs w:val="24"/>
              </w:rPr>
              <w:t>59.8 (30</w:t>
            </w:r>
            <w:r w:rsidR="00E77770" w:rsidRPr="00424692">
              <w:rPr>
                <w:bCs/>
                <w:sz w:val="24"/>
                <w:szCs w:val="24"/>
              </w:rPr>
              <w:t>–</w:t>
            </w:r>
            <w:r w:rsidRPr="00424692">
              <w:rPr>
                <w:bCs/>
                <w:sz w:val="24"/>
                <w:szCs w:val="24"/>
              </w:rPr>
              <w:t>85)</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61282026" w14:textId="42AE9F8C" w:rsidR="00F4712C" w:rsidRPr="00424692" w:rsidRDefault="00F4712C" w:rsidP="00F4712C">
            <w:pPr>
              <w:ind w:left="2" w:hanging="2"/>
              <w:contextualSpacing/>
              <w:jc w:val="center"/>
              <w:rPr>
                <w:bCs/>
                <w:sz w:val="24"/>
                <w:szCs w:val="24"/>
              </w:rPr>
            </w:pPr>
            <w:r w:rsidRPr="00424692">
              <w:rPr>
                <w:bCs/>
                <w:sz w:val="24"/>
                <w:szCs w:val="24"/>
              </w:rPr>
              <w:t>1</w:t>
            </w:r>
            <w:r w:rsidR="00E77770" w:rsidRPr="00424692">
              <w:rPr>
                <w:bCs/>
                <w:sz w:val="24"/>
                <w:szCs w:val="24"/>
              </w:rPr>
              <w:t>,</w:t>
            </w:r>
            <w:r w:rsidRPr="00424692">
              <w:rPr>
                <w:bCs/>
                <w:sz w:val="24"/>
                <w:szCs w:val="24"/>
              </w:rPr>
              <w:t>973 (3</w:t>
            </w:r>
            <w:r w:rsidR="00E77770" w:rsidRPr="00424692">
              <w:rPr>
                <w:bCs/>
                <w:sz w:val="24"/>
                <w:szCs w:val="24"/>
              </w:rPr>
              <w:t>,</w:t>
            </w:r>
            <w:r w:rsidRPr="00424692">
              <w:rPr>
                <w:bCs/>
                <w:sz w:val="24"/>
                <w:szCs w:val="24"/>
              </w:rPr>
              <w:t>190)</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5B662C3E" w14:textId="2E2E2FFF" w:rsidR="00F4712C" w:rsidRPr="00424692" w:rsidRDefault="00E77770" w:rsidP="00E77770">
            <w:pPr>
              <w:ind w:left="2" w:hanging="2"/>
              <w:contextualSpacing/>
              <w:rPr>
                <w:bCs/>
                <w:sz w:val="24"/>
                <w:szCs w:val="24"/>
              </w:rPr>
            </w:pPr>
            <w:r w:rsidRPr="00424692">
              <w:rPr>
                <w:bCs/>
                <w:sz w:val="24"/>
                <w:szCs w:val="24"/>
              </w:rPr>
              <w:t xml:space="preserve">1. </w:t>
            </w:r>
            <w:r w:rsidR="00F4712C" w:rsidRPr="00424692">
              <w:rPr>
                <w:bCs/>
                <w:sz w:val="24"/>
                <w:szCs w:val="24"/>
              </w:rPr>
              <w:t>III: 138 (70.4)</w:t>
            </w:r>
          </w:p>
          <w:p w14:paraId="79BC2993" w14:textId="04FA3F82" w:rsidR="00F4712C" w:rsidRPr="00424692" w:rsidRDefault="00E77770" w:rsidP="00E77770">
            <w:pPr>
              <w:ind w:left="2" w:hanging="2"/>
              <w:contextualSpacing/>
              <w:rPr>
                <w:bCs/>
                <w:sz w:val="24"/>
                <w:szCs w:val="24"/>
              </w:rPr>
            </w:pPr>
            <w:r w:rsidRPr="00424692">
              <w:rPr>
                <w:bCs/>
                <w:sz w:val="24"/>
                <w:szCs w:val="24"/>
              </w:rPr>
              <w:t xml:space="preserve">2. </w:t>
            </w:r>
            <w:r w:rsidR="00F4712C" w:rsidRPr="00424692">
              <w:rPr>
                <w:bCs/>
                <w:sz w:val="24"/>
                <w:szCs w:val="24"/>
              </w:rPr>
              <w:t>IV: 58 (29.6)</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4293F18D" w14:textId="77777777" w:rsidR="00F4712C" w:rsidRPr="00424692" w:rsidRDefault="00F4712C" w:rsidP="00F4712C">
            <w:pPr>
              <w:ind w:left="2" w:hanging="2"/>
              <w:contextualSpacing/>
              <w:jc w:val="center"/>
              <w:rPr>
                <w:bCs/>
                <w:sz w:val="24"/>
                <w:szCs w:val="24"/>
              </w:rPr>
            </w:pPr>
            <w:r w:rsidRPr="00424692">
              <w:rPr>
                <w:bCs/>
                <w:sz w:val="24"/>
                <w:szCs w:val="24"/>
              </w:rPr>
              <w:t>HGSOC</w:t>
            </w:r>
          </w:p>
        </w:tc>
      </w:tr>
      <w:tr w:rsidR="001E714D" w:rsidRPr="00424692" w14:paraId="7DC581AE" w14:textId="77777777" w:rsidTr="008A28B5">
        <w:trPr>
          <w:trHeight w:val="114"/>
        </w:trPr>
        <w:tc>
          <w:tcPr>
            <w:tcW w:w="897" w:type="pct"/>
            <w:tcBorders>
              <w:bottom w:val="single" w:sz="8" w:space="0" w:color="000000"/>
              <w:right w:val="single" w:sz="8" w:space="0" w:color="000000"/>
            </w:tcBorders>
            <w:vAlign w:val="center"/>
          </w:tcPr>
          <w:p w14:paraId="4E76EE3A" w14:textId="42222D30" w:rsidR="00F4712C" w:rsidRPr="00424692" w:rsidRDefault="00F4712C" w:rsidP="00F4712C">
            <w:pPr>
              <w:ind w:left="2" w:hanging="2"/>
              <w:contextualSpacing/>
              <w:rPr>
                <w:bCs/>
                <w:sz w:val="24"/>
                <w:szCs w:val="24"/>
              </w:rPr>
            </w:pPr>
            <w:r w:rsidRPr="00424692">
              <w:rPr>
                <w:bCs/>
                <w:sz w:val="24"/>
                <w:szCs w:val="24"/>
              </w:rPr>
              <w:t>Asher,</w:t>
            </w:r>
            <w:r w:rsidR="00095EFE">
              <w:rPr>
                <w:bCs/>
                <w:sz w:val="24"/>
                <w:szCs w:val="24"/>
                <w:vertAlign w:val="superscript"/>
              </w:rPr>
              <w:t>3</w:t>
            </w:r>
            <w:r w:rsidRPr="00424692">
              <w:rPr>
                <w:bCs/>
                <w:sz w:val="24"/>
                <w:szCs w:val="24"/>
              </w:rPr>
              <w:t xml:space="preserve"> 2011</w:t>
            </w:r>
          </w:p>
        </w:tc>
        <w:tc>
          <w:tcPr>
            <w:tcW w:w="606" w:type="pct"/>
            <w:tcBorders>
              <w:bottom w:val="single" w:sz="8" w:space="0" w:color="000000"/>
            </w:tcBorders>
            <w:vAlign w:val="center"/>
          </w:tcPr>
          <w:p w14:paraId="439E09E7" w14:textId="77777777" w:rsidR="00F4712C" w:rsidRPr="00424692" w:rsidRDefault="00F4712C" w:rsidP="00F4712C">
            <w:pPr>
              <w:ind w:left="2" w:hanging="2"/>
              <w:contextualSpacing/>
              <w:jc w:val="center"/>
              <w:rPr>
                <w:bCs/>
                <w:sz w:val="24"/>
                <w:szCs w:val="24"/>
              </w:rPr>
            </w:pPr>
            <w:r w:rsidRPr="00424692">
              <w:rPr>
                <w:bCs/>
                <w:sz w:val="24"/>
                <w:szCs w:val="24"/>
              </w:rPr>
              <w:t>Prior to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20EEACCD" w14:textId="26AD4943" w:rsidR="00F4712C" w:rsidRPr="00424692" w:rsidRDefault="00E77770"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F67EBB1" w14:textId="77777777" w:rsidR="00F4712C" w:rsidRPr="00424692" w:rsidRDefault="00F4712C" w:rsidP="00F4712C">
            <w:pPr>
              <w:ind w:left="2" w:hanging="2"/>
              <w:contextualSpacing/>
              <w:jc w:val="center"/>
              <w:rPr>
                <w:bCs/>
                <w:sz w:val="24"/>
                <w:szCs w:val="24"/>
              </w:rPr>
            </w:pPr>
            <w:r w:rsidRPr="00424692">
              <w:rPr>
                <w:bCs/>
                <w:sz w:val="24"/>
                <w:szCs w:val="24"/>
              </w:rPr>
              <w:t>62 (24–90)</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50C9E07B" w14:textId="14AB7D41" w:rsidR="00F4712C" w:rsidRPr="00424692" w:rsidRDefault="00E77770" w:rsidP="00F4712C">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6BB5C033" w14:textId="647A313A" w:rsidR="00F4712C" w:rsidRPr="00424692" w:rsidRDefault="00E77770"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369B457C" w14:textId="0989452E" w:rsidR="00F4712C" w:rsidRPr="00424692" w:rsidRDefault="00E77770" w:rsidP="00F4712C">
            <w:pPr>
              <w:ind w:left="2" w:hanging="2"/>
              <w:contextualSpacing/>
              <w:jc w:val="center"/>
              <w:rPr>
                <w:bCs/>
                <w:sz w:val="24"/>
                <w:szCs w:val="24"/>
              </w:rPr>
            </w:pPr>
            <w:r w:rsidRPr="00424692">
              <w:rPr>
                <w:bCs/>
                <w:sz w:val="24"/>
                <w:szCs w:val="24"/>
              </w:rPr>
              <w:t>NA</w:t>
            </w:r>
          </w:p>
        </w:tc>
      </w:tr>
      <w:tr w:rsidR="001E714D" w:rsidRPr="00424692" w14:paraId="5FD6A259" w14:textId="77777777" w:rsidTr="008A28B5">
        <w:trPr>
          <w:trHeight w:val="1737"/>
        </w:trPr>
        <w:tc>
          <w:tcPr>
            <w:tcW w:w="897" w:type="pct"/>
            <w:tcBorders>
              <w:bottom w:val="single" w:sz="8" w:space="0" w:color="000000"/>
              <w:right w:val="single" w:sz="8" w:space="0" w:color="000000"/>
            </w:tcBorders>
            <w:vAlign w:val="center"/>
          </w:tcPr>
          <w:p w14:paraId="1D0CF609" w14:textId="2413005C" w:rsidR="00F4712C" w:rsidRPr="00424692" w:rsidRDefault="00F4712C" w:rsidP="00F4712C">
            <w:pPr>
              <w:ind w:left="2" w:hanging="2"/>
              <w:contextualSpacing/>
              <w:rPr>
                <w:rFonts w:eastAsia="Gungsuh"/>
                <w:bCs/>
                <w:sz w:val="24"/>
                <w:szCs w:val="24"/>
              </w:rPr>
            </w:pPr>
            <w:r w:rsidRPr="00424692">
              <w:rPr>
                <w:bCs/>
                <w:sz w:val="24"/>
                <w:szCs w:val="24"/>
              </w:rPr>
              <w:t>Komura,</w:t>
            </w:r>
            <w:r w:rsidR="00095EFE">
              <w:rPr>
                <w:bCs/>
                <w:sz w:val="24"/>
                <w:szCs w:val="24"/>
                <w:vertAlign w:val="superscript"/>
              </w:rPr>
              <w:t>4</w:t>
            </w:r>
            <w:r w:rsidRPr="00424692">
              <w:rPr>
                <w:bCs/>
                <w:sz w:val="24"/>
                <w:szCs w:val="24"/>
              </w:rPr>
              <w:t xml:space="preserve"> 2018</w:t>
            </w:r>
          </w:p>
        </w:tc>
        <w:tc>
          <w:tcPr>
            <w:tcW w:w="606" w:type="pct"/>
            <w:tcBorders>
              <w:bottom w:val="single" w:sz="8" w:space="0" w:color="000000"/>
            </w:tcBorders>
            <w:vAlign w:val="center"/>
          </w:tcPr>
          <w:p w14:paraId="15477AA2" w14:textId="77777777" w:rsidR="00F4712C" w:rsidRPr="00424692" w:rsidRDefault="00F4712C" w:rsidP="00F4712C">
            <w:pPr>
              <w:ind w:left="2" w:hanging="2"/>
              <w:contextualSpacing/>
              <w:jc w:val="center"/>
              <w:rPr>
                <w:rFonts w:eastAsia="Gungsuh"/>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723857A4" w14:textId="77777777" w:rsidR="00F4712C" w:rsidRPr="00424692" w:rsidRDefault="00F4712C" w:rsidP="00F4712C">
            <w:pPr>
              <w:ind w:left="2" w:hanging="2"/>
              <w:contextualSpacing/>
              <w:jc w:val="center"/>
              <w:rPr>
                <w:bCs/>
                <w:sz w:val="24"/>
                <w:szCs w:val="24"/>
              </w:rPr>
            </w:pPr>
            <w:r w:rsidRPr="00424692">
              <w:rPr>
                <w:bCs/>
                <w:sz w:val="24"/>
                <w:szCs w:val="24"/>
              </w:rPr>
              <w:t>142 (41.3)</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3E08C7A3" w14:textId="106C8BE5" w:rsidR="00E77770" w:rsidRPr="00424692" w:rsidRDefault="00E77770" w:rsidP="00E77770">
            <w:pPr>
              <w:ind w:left="2" w:hanging="2"/>
              <w:contextualSpacing/>
              <w:rPr>
                <w:bCs/>
                <w:sz w:val="24"/>
                <w:szCs w:val="24"/>
              </w:rPr>
            </w:pPr>
            <w:r w:rsidRPr="00424692">
              <w:rPr>
                <w:bCs/>
                <w:sz w:val="24"/>
                <w:szCs w:val="24"/>
              </w:rPr>
              <w:t>1.</w:t>
            </w:r>
            <w:r w:rsidR="00C03729">
              <w:rPr>
                <w:bCs/>
                <w:sz w:val="24"/>
                <w:szCs w:val="24"/>
              </w:rPr>
              <w:t xml:space="preserve"> </w:t>
            </w:r>
            <w:r w:rsidR="00F4712C" w:rsidRPr="00424692">
              <w:rPr>
                <w:bCs/>
                <w:sz w:val="24"/>
                <w:szCs w:val="24"/>
              </w:rPr>
              <w:t>&lt;50: 58 (40.8)</w:t>
            </w:r>
          </w:p>
          <w:p w14:paraId="3696F465" w14:textId="64A1D5E2" w:rsidR="00F4712C" w:rsidRPr="00424692" w:rsidRDefault="00E77770" w:rsidP="00E77770">
            <w:pPr>
              <w:ind w:left="2" w:hanging="2"/>
              <w:contextualSpacing/>
              <w:rPr>
                <w:bCs/>
                <w:sz w:val="24"/>
                <w:szCs w:val="24"/>
              </w:rPr>
            </w:pPr>
            <w:r w:rsidRPr="00424692">
              <w:rPr>
                <w:bCs/>
                <w:sz w:val="24"/>
                <w:szCs w:val="24"/>
              </w:rPr>
              <w:t xml:space="preserve">2. </w:t>
            </w:r>
            <w:r w:rsidR="00F4712C" w:rsidRPr="00424692">
              <w:rPr>
                <w:rFonts w:eastAsia="Gungsuh"/>
                <w:bCs/>
                <w:sz w:val="24"/>
                <w:szCs w:val="24"/>
              </w:rPr>
              <w:t>≥50: 84 (59.2)</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08829048" w14:textId="77777777" w:rsidR="00E77770" w:rsidRPr="00424692" w:rsidRDefault="00E77770" w:rsidP="00E77770">
            <w:pPr>
              <w:ind w:left="2" w:hanging="2"/>
              <w:contextualSpacing/>
              <w:rPr>
                <w:bCs/>
                <w:sz w:val="24"/>
                <w:szCs w:val="24"/>
              </w:rPr>
            </w:pPr>
            <w:r w:rsidRPr="00424692">
              <w:rPr>
                <w:bCs/>
                <w:sz w:val="24"/>
                <w:szCs w:val="24"/>
              </w:rPr>
              <w:t xml:space="preserve">1. </w:t>
            </w:r>
            <w:r w:rsidR="00F4712C" w:rsidRPr="00424692">
              <w:rPr>
                <w:bCs/>
                <w:sz w:val="24"/>
                <w:szCs w:val="24"/>
              </w:rPr>
              <w:t>&lt;500: 68 (47.9)</w:t>
            </w:r>
          </w:p>
          <w:p w14:paraId="72A8BDC1" w14:textId="46088880" w:rsidR="00F4712C" w:rsidRPr="00424692" w:rsidRDefault="00E77770" w:rsidP="00E77770">
            <w:pPr>
              <w:ind w:left="2" w:hanging="2"/>
              <w:contextualSpacing/>
              <w:rPr>
                <w:bCs/>
                <w:sz w:val="24"/>
                <w:szCs w:val="24"/>
              </w:rPr>
            </w:pPr>
            <w:r w:rsidRPr="00424692">
              <w:rPr>
                <w:bCs/>
                <w:sz w:val="24"/>
                <w:szCs w:val="24"/>
              </w:rPr>
              <w:t xml:space="preserve">2. </w:t>
            </w:r>
            <w:r w:rsidR="00F4712C" w:rsidRPr="00424692">
              <w:rPr>
                <w:rFonts w:eastAsia="Gungsuh"/>
                <w:bCs/>
                <w:sz w:val="24"/>
                <w:szCs w:val="24"/>
              </w:rPr>
              <w:t>≥500: 74 (52.1)</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4E847FBC" w14:textId="37E25C15" w:rsidR="00F4712C" w:rsidRPr="00424692" w:rsidRDefault="00E77770" w:rsidP="00E77770">
            <w:pPr>
              <w:ind w:left="2" w:hanging="2"/>
              <w:contextualSpacing/>
              <w:rPr>
                <w:bCs/>
                <w:sz w:val="24"/>
                <w:szCs w:val="24"/>
              </w:rPr>
            </w:pPr>
            <w:r w:rsidRPr="00424692">
              <w:rPr>
                <w:bCs/>
                <w:sz w:val="24"/>
                <w:szCs w:val="24"/>
              </w:rPr>
              <w:t xml:space="preserve">1. </w:t>
            </w:r>
            <w:r w:rsidR="00F4712C" w:rsidRPr="00424692">
              <w:rPr>
                <w:bCs/>
                <w:sz w:val="24"/>
                <w:szCs w:val="24"/>
              </w:rPr>
              <w:t>I</w:t>
            </w:r>
            <w:r w:rsidRPr="00424692">
              <w:rPr>
                <w:bCs/>
                <w:sz w:val="24"/>
                <w:szCs w:val="24"/>
              </w:rPr>
              <w:t>–</w:t>
            </w:r>
            <w:r w:rsidR="00F4712C" w:rsidRPr="00424692">
              <w:rPr>
                <w:bCs/>
                <w:sz w:val="24"/>
                <w:szCs w:val="24"/>
              </w:rPr>
              <w:t>II: 56 (39.4)</w:t>
            </w:r>
          </w:p>
          <w:p w14:paraId="4C253B6B" w14:textId="6CF8883E" w:rsidR="00F4712C" w:rsidRPr="00424692" w:rsidRDefault="00E77770" w:rsidP="00E77770">
            <w:pPr>
              <w:ind w:left="2" w:hanging="2"/>
              <w:contextualSpacing/>
              <w:rPr>
                <w:bCs/>
                <w:sz w:val="24"/>
                <w:szCs w:val="24"/>
              </w:rPr>
            </w:pPr>
            <w:r w:rsidRPr="00424692">
              <w:rPr>
                <w:bCs/>
                <w:sz w:val="24"/>
                <w:szCs w:val="24"/>
              </w:rPr>
              <w:t xml:space="preserve">2. </w:t>
            </w:r>
            <w:r w:rsidR="00F4712C" w:rsidRPr="00424692">
              <w:rPr>
                <w:bCs/>
                <w:sz w:val="24"/>
                <w:szCs w:val="24"/>
              </w:rPr>
              <w:t>III</w:t>
            </w:r>
            <w:r w:rsidRPr="00424692">
              <w:rPr>
                <w:bCs/>
                <w:sz w:val="24"/>
                <w:szCs w:val="24"/>
              </w:rPr>
              <w:t>–</w:t>
            </w:r>
            <w:r w:rsidR="00F4712C" w:rsidRPr="00424692">
              <w:rPr>
                <w:bCs/>
                <w:sz w:val="24"/>
                <w:szCs w:val="24"/>
              </w:rPr>
              <w:t>IV</w:t>
            </w:r>
            <w:r w:rsidRPr="00424692">
              <w:rPr>
                <w:bCs/>
                <w:sz w:val="24"/>
                <w:szCs w:val="24"/>
              </w:rPr>
              <w:t>:</w:t>
            </w:r>
            <w:r w:rsidR="00F4712C" w:rsidRPr="00424692">
              <w:rPr>
                <w:bCs/>
                <w:sz w:val="24"/>
                <w:szCs w:val="24"/>
              </w:rPr>
              <w:t xml:space="preserve"> 86 (60.6)</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4B6555D5" w14:textId="4AE68720"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1. </w:t>
            </w:r>
            <w:r w:rsidR="00F4712C" w:rsidRPr="00424692">
              <w:rPr>
                <w:bCs/>
                <w:sz w:val="24"/>
                <w:szCs w:val="24"/>
              </w:rPr>
              <w:t>Serous: 59 (41.5)</w:t>
            </w:r>
          </w:p>
          <w:p w14:paraId="099A9DAE" w14:textId="2B8F0A38"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2. </w:t>
            </w:r>
            <w:r w:rsidR="00F4712C" w:rsidRPr="00424692">
              <w:rPr>
                <w:bCs/>
                <w:sz w:val="24"/>
                <w:szCs w:val="24"/>
              </w:rPr>
              <w:t>Clear cell: 33 (33.2)</w:t>
            </w:r>
          </w:p>
          <w:p w14:paraId="0B9FD2C3" w14:textId="586AC843"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3. </w:t>
            </w:r>
            <w:r w:rsidR="00F4712C" w:rsidRPr="00424692">
              <w:rPr>
                <w:bCs/>
                <w:sz w:val="24"/>
                <w:szCs w:val="24"/>
              </w:rPr>
              <w:t>Endometrioid: 23 (16.2)</w:t>
            </w:r>
          </w:p>
          <w:p w14:paraId="0D653F4F" w14:textId="68EB075D"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4. </w:t>
            </w:r>
            <w:r w:rsidR="00F4712C" w:rsidRPr="00424692">
              <w:rPr>
                <w:bCs/>
                <w:sz w:val="24"/>
                <w:szCs w:val="24"/>
              </w:rPr>
              <w:t>Mucinous: 6 (4.2)</w:t>
            </w:r>
          </w:p>
          <w:p w14:paraId="003A8395" w14:textId="1A93D6C2" w:rsidR="00F4712C" w:rsidRPr="00424692" w:rsidRDefault="00E77770" w:rsidP="00E77770">
            <w:pPr>
              <w:pStyle w:val="ListParagraph"/>
              <w:widowControl/>
              <w:autoSpaceDE/>
              <w:autoSpaceDN/>
              <w:contextualSpacing/>
              <w:rPr>
                <w:bCs/>
                <w:sz w:val="24"/>
                <w:szCs w:val="24"/>
              </w:rPr>
            </w:pPr>
            <w:r w:rsidRPr="00424692">
              <w:rPr>
                <w:bCs/>
                <w:sz w:val="24"/>
                <w:szCs w:val="24"/>
              </w:rPr>
              <w:t xml:space="preserve">5. </w:t>
            </w:r>
            <w:r w:rsidR="00F4712C" w:rsidRPr="00424692">
              <w:rPr>
                <w:bCs/>
                <w:sz w:val="24"/>
                <w:szCs w:val="24"/>
              </w:rPr>
              <w:t>Others: 21 (14.8)</w:t>
            </w:r>
          </w:p>
        </w:tc>
      </w:tr>
      <w:tr w:rsidR="001E714D" w:rsidRPr="00424692" w14:paraId="307BF952" w14:textId="77777777" w:rsidTr="001E714D">
        <w:trPr>
          <w:trHeight w:val="52"/>
        </w:trPr>
        <w:tc>
          <w:tcPr>
            <w:tcW w:w="897" w:type="pct"/>
            <w:tcBorders>
              <w:bottom w:val="single" w:sz="8" w:space="0" w:color="000000"/>
              <w:right w:val="single" w:sz="8" w:space="0" w:color="000000"/>
            </w:tcBorders>
            <w:vAlign w:val="center"/>
          </w:tcPr>
          <w:p w14:paraId="481F2B84" w14:textId="3C243519" w:rsidR="00F4712C" w:rsidRPr="00424692" w:rsidRDefault="00F4712C" w:rsidP="00F4712C">
            <w:pPr>
              <w:ind w:left="2" w:hanging="2"/>
              <w:contextualSpacing/>
              <w:rPr>
                <w:bCs/>
                <w:sz w:val="24"/>
                <w:szCs w:val="24"/>
              </w:rPr>
            </w:pPr>
            <w:r w:rsidRPr="00424692">
              <w:rPr>
                <w:bCs/>
                <w:sz w:val="24"/>
                <w:szCs w:val="24"/>
              </w:rPr>
              <w:t>Wang,</w:t>
            </w:r>
            <w:r w:rsidR="00095EFE">
              <w:rPr>
                <w:bCs/>
                <w:sz w:val="24"/>
                <w:szCs w:val="24"/>
                <w:vertAlign w:val="superscript"/>
              </w:rPr>
              <w:t>5</w:t>
            </w:r>
            <w:r w:rsidRPr="00424692">
              <w:rPr>
                <w:bCs/>
                <w:sz w:val="24"/>
                <w:szCs w:val="24"/>
              </w:rPr>
              <w:t xml:space="preserve"> 2016</w:t>
            </w:r>
          </w:p>
        </w:tc>
        <w:tc>
          <w:tcPr>
            <w:tcW w:w="606" w:type="pct"/>
            <w:tcBorders>
              <w:bottom w:val="single" w:sz="8" w:space="0" w:color="000000"/>
            </w:tcBorders>
            <w:vAlign w:val="center"/>
          </w:tcPr>
          <w:p w14:paraId="6ED5407D"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0617FDF0" w14:textId="77777777" w:rsidR="00F4712C" w:rsidRPr="00424692" w:rsidRDefault="00F4712C" w:rsidP="00F4712C">
            <w:pPr>
              <w:ind w:left="2" w:hanging="2"/>
              <w:contextualSpacing/>
              <w:jc w:val="center"/>
              <w:rPr>
                <w:bCs/>
                <w:sz w:val="24"/>
                <w:szCs w:val="24"/>
              </w:rPr>
            </w:pPr>
            <w:r w:rsidRPr="00424692">
              <w:rPr>
                <w:bCs/>
                <w:sz w:val="24"/>
                <w:szCs w:val="24"/>
              </w:rPr>
              <w:t>49 (34.3)</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ACE1DAF" w14:textId="77777777" w:rsidR="00E77770" w:rsidRPr="00424692" w:rsidRDefault="00E77770" w:rsidP="00E77770">
            <w:pPr>
              <w:ind w:left="2" w:hanging="2"/>
              <w:contextualSpacing/>
              <w:rPr>
                <w:bCs/>
                <w:sz w:val="24"/>
                <w:szCs w:val="24"/>
              </w:rPr>
            </w:pPr>
            <w:r w:rsidRPr="00424692">
              <w:rPr>
                <w:bCs/>
                <w:sz w:val="24"/>
                <w:szCs w:val="24"/>
              </w:rPr>
              <w:t xml:space="preserve">1. </w:t>
            </w:r>
            <w:r w:rsidR="00F4712C" w:rsidRPr="00424692">
              <w:rPr>
                <w:bCs/>
                <w:sz w:val="24"/>
                <w:szCs w:val="24"/>
              </w:rPr>
              <w:t>≤50: 21 (41.2)</w:t>
            </w:r>
          </w:p>
          <w:p w14:paraId="791B967E" w14:textId="7B974D03" w:rsidR="00F4712C" w:rsidRPr="00424692" w:rsidRDefault="00E77770" w:rsidP="00E77770">
            <w:pPr>
              <w:ind w:left="2" w:hanging="2"/>
              <w:contextualSpacing/>
              <w:rPr>
                <w:bCs/>
                <w:sz w:val="24"/>
                <w:szCs w:val="24"/>
              </w:rPr>
            </w:pPr>
            <w:r w:rsidRPr="00424692">
              <w:rPr>
                <w:bCs/>
                <w:sz w:val="24"/>
                <w:szCs w:val="24"/>
              </w:rPr>
              <w:t xml:space="preserve">2. </w:t>
            </w:r>
            <w:r w:rsidR="00F4712C" w:rsidRPr="00424692">
              <w:rPr>
                <w:rFonts w:eastAsia="Gungsuh"/>
                <w:bCs/>
                <w:sz w:val="24"/>
                <w:szCs w:val="24"/>
              </w:rPr>
              <w:t>&gt;50: 30 (58.8)</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326957BC" w14:textId="769F4141" w:rsidR="00F4712C" w:rsidRPr="00424692" w:rsidRDefault="00E77770" w:rsidP="00E77770">
            <w:pPr>
              <w:ind w:left="2" w:hanging="2"/>
              <w:contextualSpacing/>
              <w:rPr>
                <w:bCs/>
                <w:sz w:val="24"/>
                <w:szCs w:val="24"/>
              </w:rPr>
            </w:pPr>
            <w:r w:rsidRPr="00424692">
              <w:rPr>
                <w:bCs/>
                <w:sz w:val="24"/>
                <w:szCs w:val="24"/>
              </w:rPr>
              <w:t xml:space="preserve">1. </w:t>
            </w:r>
            <w:r w:rsidR="00F4712C" w:rsidRPr="00424692">
              <w:rPr>
                <w:bCs/>
                <w:sz w:val="24"/>
                <w:szCs w:val="24"/>
              </w:rPr>
              <w:t>≤35: 5 (9.4)</w:t>
            </w:r>
          </w:p>
          <w:p w14:paraId="0E5799CC" w14:textId="529B3E29" w:rsidR="00F4712C" w:rsidRPr="00424692" w:rsidRDefault="00E77770" w:rsidP="00E77770">
            <w:pPr>
              <w:ind w:left="2" w:hanging="2"/>
              <w:contextualSpacing/>
              <w:rPr>
                <w:bCs/>
                <w:sz w:val="24"/>
                <w:szCs w:val="24"/>
              </w:rPr>
            </w:pPr>
            <w:r w:rsidRPr="00424692">
              <w:rPr>
                <w:bCs/>
                <w:sz w:val="24"/>
                <w:szCs w:val="24"/>
              </w:rPr>
              <w:t xml:space="preserve">2. </w:t>
            </w:r>
            <w:r w:rsidR="00F4712C" w:rsidRPr="00424692">
              <w:rPr>
                <w:bCs/>
                <w:sz w:val="24"/>
                <w:szCs w:val="24"/>
              </w:rPr>
              <w:t>&gt;35: 48 (90.5)</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51B3DA0F" w14:textId="2EBCCEA3"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I</w:t>
            </w:r>
            <w:r w:rsidRPr="00424692">
              <w:rPr>
                <w:bCs/>
                <w:sz w:val="24"/>
                <w:szCs w:val="24"/>
              </w:rPr>
              <w:t>–</w:t>
            </w:r>
            <w:r w:rsidR="00F4712C" w:rsidRPr="00424692">
              <w:rPr>
                <w:bCs/>
                <w:sz w:val="24"/>
                <w:szCs w:val="24"/>
              </w:rPr>
              <w:t>II: 12 (22.6)</w:t>
            </w:r>
          </w:p>
          <w:p w14:paraId="7BC15F11" w14:textId="5C86F57D"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III</w:t>
            </w:r>
            <w:r w:rsidRPr="00424692">
              <w:rPr>
                <w:bCs/>
                <w:sz w:val="24"/>
                <w:szCs w:val="24"/>
              </w:rPr>
              <w:t>–</w:t>
            </w:r>
            <w:r w:rsidR="00F4712C" w:rsidRPr="00424692">
              <w:rPr>
                <w:bCs/>
                <w:sz w:val="24"/>
                <w:szCs w:val="24"/>
              </w:rPr>
              <w:t>IV: 41 (77.5)</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4469056A" w14:textId="2F3F9700"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Epithelial</w:t>
            </w:r>
            <w:r w:rsidR="00C03729">
              <w:rPr>
                <w:bCs/>
                <w:sz w:val="24"/>
                <w:szCs w:val="24"/>
              </w:rPr>
              <w:t>:</w:t>
            </w:r>
            <w:r w:rsidR="00F4712C" w:rsidRPr="00424692">
              <w:rPr>
                <w:bCs/>
                <w:sz w:val="24"/>
                <w:szCs w:val="24"/>
              </w:rPr>
              <w:t xml:space="preserve"> 45 (85)</w:t>
            </w:r>
          </w:p>
          <w:p w14:paraId="0C017F44" w14:textId="3590A76E" w:rsidR="00F4712C" w:rsidRPr="00424692" w:rsidRDefault="001E714D" w:rsidP="001E714D">
            <w:pPr>
              <w:ind w:left="2" w:hanging="2"/>
              <w:contextualSpacing/>
              <w:rPr>
                <w:bCs/>
                <w:sz w:val="24"/>
                <w:szCs w:val="24"/>
              </w:rPr>
            </w:pPr>
            <w:r w:rsidRPr="00424692">
              <w:rPr>
                <w:bCs/>
                <w:sz w:val="24"/>
                <w:szCs w:val="24"/>
              </w:rPr>
              <w:t xml:space="preserve">2. </w:t>
            </w:r>
            <w:proofErr w:type="gramStart"/>
            <w:r w:rsidR="00F4712C" w:rsidRPr="00424692">
              <w:rPr>
                <w:bCs/>
                <w:sz w:val="24"/>
                <w:szCs w:val="24"/>
              </w:rPr>
              <w:t>Non-epithelial</w:t>
            </w:r>
            <w:proofErr w:type="gramEnd"/>
            <w:r w:rsidR="00C03729">
              <w:rPr>
                <w:bCs/>
                <w:sz w:val="24"/>
                <w:szCs w:val="24"/>
              </w:rPr>
              <w:t>:</w:t>
            </w:r>
            <w:r w:rsidR="00F4712C" w:rsidRPr="00424692">
              <w:rPr>
                <w:bCs/>
                <w:sz w:val="24"/>
                <w:szCs w:val="24"/>
              </w:rPr>
              <w:t xml:space="preserve"> 8 (15)</w:t>
            </w:r>
          </w:p>
        </w:tc>
      </w:tr>
      <w:tr w:rsidR="001E714D" w:rsidRPr="00424692" w14:paraId="04946231" w14:textId="77777777" w:rsidTr="008A28B5">
        <w:trPr>
          <w:trHeight w:val="311"/>
        </w:trPr>
        <w:tc>
          <w:tcPr>
            <w:tcW w:w="897" w:type="pct"/>
            <w:tcBorders>
              <w:bottom w:val="single" w:sz="8" w:space="0" w:color="000000"/>
              <w:right w:val="single" w:sz="8" w:space="0" w:color="000000"/>
            </w:tcBorders>
            <w:vAlign w:val="center"/>
          </w:tcPr>
          <w:p w14:paraId="1F18794F" w14:textId="64A6AC4B" w:rsidR="00F4712C" w:rsidRPr="00424692" w:rsidRDefault="00F4712C" w:rsidP="00F4712C">
            <w:pPr>
              <w:ind w:left="2" w:hanging="2"/>
              <w:contextualSpacing/>
              <w:rPr>
                <w:bCs/>
                <w:sz w:val="24"/>
                <w:szCs w:val="24"/>
              </w:rPr>
            </w:pPr>
            <w:r w:rsidRPr="00424692">
              <w:rPr>
                <w:bCs/>
                <w:sz w:val="24"/>
                <w:szCs w:val="24"/>
              </w:rPr>
              <w:lastRenderedPageBreak/>
              <w:t>Baert,</w:t>
            </w:r>
            <w:r w:rsidR="00095EFE">
              <w:rPr>
                <w:bCs/>
                <w:sz w:val="24"/>
                <w:szCs w:val="24"/>
                <w:vertAlign w:val="superscript"/>
              </w:rPr>
              <w:t>6</w:t>
            </w:r>
            <w:r w:rsidRPr="00424692">
              <w:rPr>
                <w:bCs/>
                <w:sz w:val="24"/>
                <w:szCs w:val="24"/>
              </w:rPr>
              <w:t xml:space="preserve"> 2018</w:t>
            </w:r>
          </w:p>
        </w:tc>
        <w:tc>
          <w:tcPr>
            <w:tcW w:w="606" w:type="pct"/>
            <w:tcBorders>
              <w:bottom w:val="single" w:sz="8" w:space="0" w:color="000000"/>
            </w:tcBorders>
            <w:vAlign w:val="center"/>
          </w:tcPr>
          <w:p w14:paraId="08F2A039" w14:textId="77777777" w:rsidR="00F4712C" w:rsidRPr="00424692" w:rsidRDefault="00F4712C" w:rsidP="00F4712C">
            <w:pPr>
              <w:ind w:left="2" w:hanging="2"/>
              <w:contextualSpacing/>
              <w:jc w:val="center"/>
              <w:rPr>
                <w:bCs/>
                <w:sz w:val="24"/>
                <w:szCs w:val="24"/>
              </w:rPr>
            </w:pPr>
            <w:r w:rsidRPr="00424692">
              <w:rPr>
                <w:bCs/>
                <w:sz w:val="24"/>
                <w:szCs w:val="24"/>
              </w:rPr>
              <w:t>Prior to primary treatment</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5EF959FC" w14:textId="77777777" w:rsidR="00F4712C" w:rsidRPr="00424692" w:rsidRDefault="00F4712C" w:rsidP="00F4712C">
            <w:pPr>
              <w:ind w:left="2" w:hanging="2"/>
              <w:contextualSpacing/>
              <w:jc w:val="center"/>
              <w:rPr>
                <w:bCs/>
                <w:sz w:val="24"/>
                <w:szCs w:val="24"/>
              </w:rPr>
            </w:pPr>
            <w:r w:rsidRPr="00424692">
              <w:rPr>
                <w:bCs/>
                <w:sz w:val="24"/>
                <w:szCs w:val="24"/>
              </w:rPr>
              <w:t>53</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1EFE09FE" w14:textId="3CB8E10A"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1EAC3F2A" w14:textId="0B3F2480" w:rsidR="00F4712C" w:rsidRPr="00424692" w:rsidRDefault="001E714D" w:rsidP="001E714D">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50FFFF68" w14:textId="6D0399B7"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07F607C2" w14:textId="77777777" w:rsidR="00F4712C" w:rsidRPr="00424692" w:rsidRDefault="00F4712C" w:rsidP="00F4712C">
            <w:pPr>
              <w:ind w:left="2" w:hanging="2"/>
              <w:contextualSpacing/>
              <w:jc w:val="center"/>
              <w:rPr>
                <w:bCs/>
                <w:sz w:val="24"/>
                <w:szCs w:val="24"/>
              </w:rPr>
            </w:pPr>
            <w:r w:rsidRPr="00424692">
              <w:rPr>
                <w:bCs/>
                <w:sz w:val="24"/>
                <w:szCs w:val="24"/>
              </w:rPr>
              <w:t>HGSOC</w:t>
            </w:r>
          </w:p>
        </w:tc>
      </w:tr>
      <w:tr w:rsidR="001E714D" w:rsidRPr="00424692" w14:paraId="797CBD78" w14:textId="77777777" w:rsidTr="008A28B5">
        <w:trPr>
          <w:trHeight w:val="392"/>
        </w:trPr>
        <w:tc>
          <w:tcPr>
            <w:tcW w:w="897" w:type="pct"/>
            <w:tcBorders>
              <w:bottom w:val="single" w:sz="8" w:space="0" w:color="000000"/>
              <w:right w:val="single" w:sz="8" w:space="0" w:color="000000"/>
            </w:tcBorders>
            <w:vAlign w:val="center"/>
          </w:tcPr>
          <w:p w14:paraId="4B879491" w14:textId="712FC0D7" w:rsidR="00F4712C" w:rsidRPr="00424692" w:rsidRDefault="00F4712C" w:rsidP="00F4712C">
            <w:pPr>
              <w:ind w:left="2" w:hanging="2"/>
              <w:contextualSpacing/>
              <w:rPr>
                <w:bCs/>
                <w:sz w:val="24"/>
                <w:szCs w:val="24"/>
              </w:rPr>
            </w:pPr>
            <w:r w:rsidRPr="00424692">
              <w:rPr>
                <w:bCs/>
                <w:sz w:val="24"/>
                <w:szCs w:val="24"/>
              </w:rPr>
              <w:t>Miao,</w:t>
            </w:r>
            <w:r w:rsidR="00095EFE">
              <w:rPr>
                <w:bCs/>
                <w:sz w:val="24"/>
                <w:szCs w:val="24"/>
                <w:vertAlign w:val="superscript"/>
              </w:rPr>
              <w:t>7</w:t>
            </w:r>
            <w:r w:rsidRPr="00424692">
              <w:rPr>
                <w:bCs/>
                <w:sz w:val="24"/>
                <w:szCs w:val="24"/>
              </w:rPr>
              <w:t xml:space="preserve"> 2016</w:t>
            </w:r>
          </w:p>
        </w:tc>
        <w:tc>
          <w:tcPr>
            <w:tcW w:w="606" w:type="pct"/>
            <w:tcBorders>
              <w:bottom w:val="single" w:sz="8" w:space="0" w:color="000000"/>
            </w:tcBorders>
            <w:vAlign w:val="center"/>
          </w:tcPr>
          <w:p w14:paraId="2B5B634E"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6BFD7F00" w14:textId="2207610A"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6FE10C4" w14:textId="21D8928F"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0BD63374" w14:textId="4B3913DD"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3380B38C" w14:textId="750DBEB1"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6B74C37F" w14:textId="5762568B" w:rsidR="00F4712C" w:rsidRPr="00424692" w:rsidRDefault="001E714D" w:rsidP="00F4712C">
            <w:pPr>
              <w:ind w:left="2" w:hanging="2"/>
              <w:contextualSpacing/>
              <w:jc w:val="center"/>
              <w:rPr>
                <w:bCs/>
                <w:sz w:val="24"/>
                <w:szCs w:val="24"/>
              </w:rPr>
            </w:pPr>
            <w:r w:rsidRPr="00424692">
              <w:rPr>
                <w:bCs/>
                <w:sz w:val="24"/>
                <w:szCs w:val="24"/>
              </w:rPr>
              <w:t>NA</w:t>
            </w:r>
          </w:p>
        </w:tc>
      </w:tr>
      <w:tr w:rsidR="001E714D" w:rsidRPr="00424692" w14:paraId="53EED748" w14:textId="77777777" w:rsidTr="001E714D">
        <w:trPr>
          <w:trHeight w:val="20"/>
        </w:trPr>
        <w:tc>
          <w:tcPr>
            <w:tcW w:w="897" w:type="pct"/>
            <w:tcBorders>
              <w:bottom w:val="single" w:sz="8" w:space="0" w:color="000000"/>
              <w:right w:val="single" w:sz="8" w:space="0" w:color="000000"/>
            </w:tcBorders>
            <w:vAlign w:val="center"/>
          </w:tcPr>
          <w:p w14:paraId="417D98CF" w14:textId="0BAA1359" w:rsidR="00F4712C" w:rsidRPr="00424692" w:rsidRDefault="00F4712C" w:rsidP="00F4712C">
            <w:pPr>
              <w:ind w:left="2" w:hanging="2"/>
              <w:contextualSpacing/>
              <w:rPr>
                <w:bCs/>
                <w:sz w:val="24"/>
                <w:szCs w:val="24"/>
              </w:rPr>
            </w:pPr>
            <w:r w:rsidRPr="00424692">
              <w:rPr>
                <w:bCs/>
                <w:sz w:val="24"/>
                <w:szCs w:val="24"/>
              </w:rPr>
              <w:t>Zhou,</w:t>
            </w:r>
            <w:r w:rsidR="00095EFE">
              <w:rPr>
                <w:bCs/>
                <w:sz w:val="24"/>
                <w:szCs w:val="24"/>
                <w:vertAlign w:val="superscript"/>
              </w:rPr>
              <w:t>8</w:t>
            </w:r>
            <w:r w:rsidRPr="00424692">
              <w:rPr>
                <w:bCs/>
                <w:sz w:val="24"/>
                <w:szCs w:val="24"/>
              </w:rPr>
              <w:t xml:space="preserve"> 2018</w:t>
            </w:r>
          </w:p>
        </w:tc>
        <w:tc>
          <w:tcPr>
            <w:tcW w:w="606" w:type="pct"/>
            <w:tcBorders>
              <w:bottom w:val="single" w:sz="8" w:space="0" w:color="000000"/>
            </w:tcBorders>
            <w:vAlign w:val="center"/>
          </w:tcPr>
          <w:p w14:paraId="0A5C0C8D"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085A3E6A" w14:textId="77777777" w:rsidR="00F4712C" w:rsidRPr="00424692" w:rsidRDefault="00F4712C" w:rsidP="00F4712C">
            <w:pPr>
              <w:ind w:left="2" w:hanging="2"/>
              <w:contextualSpacing/>
              <w:jc w:val="center"/>
              <w:rPr>
                <w:bCs/>
                <w:sz w:val="24"/>
                <w:szCs w:val="24"/>
              </w:rPr>
            </w:pPr>
            <w:r w:rsidRPr="00424692">
              <w:rPr>
                <w:bCs/>
                <w:sz w:val="24"/>
                <w:szCs w:val="24"/>
              </w:rPr>
              <w:t>190 (51.3)</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09191D09" w14:textId="0B9C364F"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237BA269" w14:textId="620B9F13"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&lt;1</w:t>
            </w:r>
            <w:r w:rsidRPr="00424692">
              <w:rPr>
                <w:bCs/>
                <w:sz w:val="24"/>
                <w:szCs w:val="24"/>
              </w:rPr>
              <w:t>,</w:t>
            </w:r>
            <w:r w:rsidR="00F4712C" w:rsidRPr="00424692">
              <w:rPr>
                <w:bCs/>
                <w:sz w:val="24"/>
                <w:szCs w:val="24"/>
              </w:rPr>
              <w:t>000: 124 (46.1)</w:t>
            </w:r>
          </w:p>
          <w:p w14:paraId="59125C34" w14:textId="7C02EC35"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1</w:t>
            </w:r>
            <w:r w:rsidRPr="00424692">
              <w:rPr>
                <w:bCs/>
                <w:sz w:val="24"/>
                <w:szCs w:val="24"/>
              </w:rPr>
              <w:t>,</w:t>
            </w:r>
            <w:r w:rsidR="00F4712C" w:rsidRPr="00424692">
              <w:rPr>
                <w:bCs/>
                <w:sz w:val="24"/>
                <w:szCs w:val="24"/>
              </w:rPr>
              <w:t>000</w:t>
            </w:r>
            <w:r w:rsidRPr="00424692">
              <w:rPr>
                <w:bCs/>
                <w:sz w:val="24"/>
                <w:szCs w:val="24"/>
              </w:rPr>
              <w:t>–</w:t>
            </w:r>
            <w:r w:rsidR="00F4712C" w:rsidRPr="00424692">
              <w:rPr>
                <w:bCs/>
                <w:sz w:val="24"/>
                <w:szCs w:val="24"/>
              </w:rPr>
              <w:t>5</w:t>
            </w:r>
            <w:r w:rsidRPr="00424692">
              <w:rPr>
                <w:bCs/>
                <w:sz w:val="24"/>
                <w:szCs w:val="24"/>
              </w:rPr>
              <w:t>,</w:t>
            </w:r>
            <w:r w:rsidR="00F4712C" w:rsidRPr="00424692">
              <w:rPr>
                <w:bCs/>
                <w:sz w:val="24"/>
                <w:szCs w:val="24"/>
              </w:rPr>
              <w:t>000: 57 (66.3)</w:t>
            </w:r>
          </w:p>
          <w:p w14:paraId="30680A5D" w14:textId="273A8AA8" w:rsidR="00F4712C" w:rsidRPr="00424692" w:rsidRDefault="001E714D" w:rsidP="001E714D">
            <w:pPr>
              <w:ind w:left="2" w:hanging="2"/>
              <w:contextualSpacing/>
              <w:rPr>
                <w:bCs/>
                <w:sz w:val="24"/>
                <w:szCs w:val="24"/>
              </w:rPr>
            </w:pPr>
            <w:r w:rsidRPr="00424692">
              <w:rPr>
                <w:bCs/>
                <w:sz w:val="24"/>
                <w:szCs w:val="24"/>
              </w:rPr>
              <w:t xml:space="preserve">3. </w:t>
            </w:r>
            <w:r w:rsidR="00F4712C" w:rsidRPr="00424692">
              <w:rPr>
                <w:bCs/>
                <w:sz w:val="24"/>
                <w:szCs w:val="24"/>
              </w:rPr>
              <w:t>&gt;5</w:t>
            </w:r>
            <w:r w:rsidRPr="00424692">
              <w:rPr>
                <w:bCs/>
                <w:sz w:val="24"/>
                <w:szCs w:val="24"/>
              </w:rPr>
              <w:t>,</w:t>
            </w:r>
            <w:r w:rsidR="00F4712C" w:rsidRPr="00424692">
              <w:rPr>
                <w:bCs/>
                <w:sz w:val="24"/>
                <w:szCs w:val="24"/>
              </w:rPr>
              <w:t>000: 9 (60)</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2262529A" w14:textId="77777777" w:rsidR="00F4712C" w:rsidRPr="00424692" w:rsidRDefault="00F4712C" w:rsidP="00F4712C">
            <w:pPr>
              <w:ind w:left="2" w:hanging="2"/>
              <w:contextualSpacing/>
              <w:jc w:val="center"/>
              <w:rPr>
                <w:bCs/>
                <w:sz w:val="24"/>
                <w:szCs w:val="24"/>
              </w:rPr>
            </w:pPr>
            <w:r w:rsidRPr="00424692">
              <w:rPr>
                <w:bCs/>
                <w:sz w:val="24"/>
                <w:szCs w:val="24"/>
              </w:rPr>
              <w:t>IIIC</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61A91B18" w14:textId="0973E4EE" w:rsidR="001E714D" w:rsidRPr="00424692" w:rsidRDefault="001E714D" w:rsidP="001E714D">
            <w:pPr>
              <w:pStyle w:val="ListParagraph"/>
              <w:widowControl/>
              <w:autoSpaceDE/>
              <w:autoSpaceDN/>
              <w:contextualSpacing/>
              <w:rPr>
                <w:bCs/>
                <w:sz w:val="24"/>
                <w:szCs w:val="24"/>
              </w:rPr>
            </w:pPr>
            <w:r w:rsidRPr="00424692">
              <w:rPr>
                <w:bCs/>
                <w:sz w:val="24"/>
                <w:szCs w:val="24"/>
              </w:rPr>
              <w:t xml:space="preserve">1. </w:t>
            </w:r>
            <w:r w:rsidR="00F4712C" w:rsidRPr="00424692">
              <w:rPr>
                <w:bCs/>
                <w:sz w:val="24"/>
                <w:szCs w:val="24"/>
              </w:rPr>
              <w:t>Serous:</w:t>
            </w:r>
            <w:r w:rsidR="00C03729">
              <w:rPr>
                <w:bCs/>
                <w:sz w:val="24"/>
                <w:szCs w:val="24"/>
              </w:rPr>
              <w:t xml:space="preserve"> </w:t>
            </w:r>
            <w:r w:rsidR="00F4712C" w:rsidRPr="00424692">
              <w:rPr>
                <w:bCs/>
                <w:sz w:val="24"/>
                <w:szCs w:val="24"/>
              </w:rPr>
              <w:t>123</w:t>
            </w:r>
          </w:p>
          <w:p w14:paraId="7A331252" w14:textId="77777777" w:rsidR="001E714D" w:rsidRPr="00424692" w:rsidRDefault="001E714D" w:rsidP="001E714D">
            <w:pPr>
              <w:pStyle w:val="ListParagraph"/>
              <w:widowControl/>
              <w:autoSpaceDE/>
              <w:autoSpaceDN/>
              <w:contextualSpacing/>
              <w:rPr>
                <w:bCs/>
                <w:sz w:val="24"/>
                <w:szCs w:val="24"/>
              </w:rPr>
            </w:pPr>
            <w:r w:rsidRPr="00424692">
              <w:rPr>
                <w:bCs/>
                <w:sz w:val="24"/>
                <w:szCs w:val="24"/>
              </w:rPr>
              <w:t xml:space="preserve">2. </w:t>
            </w:r>
            <w:r w:rsidR="00F4712C" w:rsidRPr="00424692">
              <w:rPr>
                <w:bCs/>
                <w:sz w:val="24"/>
                <w:szCs w:val="24"/>
              </w:rPr>
              <w:t>Endometrioid: 23</w:t>
            </w:r>
          </w:p>
          <w:p w14:paraId="4AA31C91" w14:textId="77777777" w:rsidR="001E714D" w:rsidRPr="00424692" w:rsidRDefault="001E714D" w:rsidP="001E714D">
            <w:pPr>
              <w:pStyle w:val="ListParagraph"/>
              <w:widowControl/>
              <w:autoSpaceDE/>
              <w:autoSpaceDN/>
              <w:contextualSpacing/>
              <w:rPr>
                <w:bCs/>
                <w:sz w:val="24"/>
                <w:szCs w:val="24"/>
              </w:rPr>
            </w:pPr>
            <w:r w:rsidRPr="00424692">
              <w:rPr>
                <w:bCs/>
                <w:sz w:val="24"/>
                <w:szCs w:val="24"/>
              </w:rPr>
              <w:t xml:space="preserve">3. </w:t>
            </w:r>
            <w:r w:rsidR="00F4712C" w:rsidRPr="00424692">
              <w:rPr>
                <w:bCs/>
                <w:sz w:val="24"/>
                <w:szCs w:val="24"/>
              </w:rPr>
              <w:t>Mucinous: 2</w:t>
            </w:r>
          </w:p>
          <w:p w14:paraId="6A228F13" w14:textId="2A28E18E" w:rsidR="00F4712C" w:rsidRPr="00424692" w:rsidRDefault="001E714D" w:rsidP="001E714D">
            <w:pPr>
              <w:pStyle w:val="ListParagraph"/>
              <w:widowControl/>
              <w:autoSpaceDE/>
              <w:autoSpaceDN/>
              <w:contextualSpacing/>
              <w:rPr>
                <w:bCs/>
                <w:sz w:val="24"/>
                <w:szCs w:val="24"/>
              </w:rPr>
            </w:pPr>
            <w:r w:rsidRPr="00424692">
              <w:rPr>
                <w:bCs/>
                <w:sz w:val="24"/>
                <w:szCs w:val="24"/>
              </w:rPr>
              <w:t xml:space="preserve">3. </w:t>
            </w:r>
            <w:r w:rsidR="00F4712C" w:rsidRPr="00424692">
              <w:rPr>
                <w:bCs/>
                <w:sz w:val="24"/>
                <w:szCs w:val="24"/>
              </w:rPr>
              <w:t>Clear cell: 3</w:t>
            </w:r>
          </w:p>
          <w:p w14:paraId="4AD7CD61" w14:textId="7A9C490F" w:rsidR="00F4712C" w:rsidRPr="00424692" w:rsidRDefault="001E714D" w:rsidP="001E714D">
            <w:pPr>
              <w:pStyle w:val="ListParagraph"/>
              <w:widowControl/>
              <w:autoSpaceDE/>
              <w:autoSpaceDN/>
              <w:contextualSpacing/>
              <w:rPr>
                <w:bCs/>
                <w:sz w:val="24"/>
                <w:szCs w:val="24"/>
              </w:rPr>
            </w:pPr>
            <w:r w:rsidRPr="00424692">
              <w:rPr>
                <w:bCs/>
                <w:sz w:val="24"/>
                <w:szCs w:val="24"/>
              </w:rPr>
              <w:t xml:space="preserve">4. </w:t>
            </w:r>
            <w:r w:rsidR="00F4712C" w:rsidRPr="00424692">
              <w:rPr>
                <w:bCs/>
                <w:sz w:val="24"/>
                <w:szCs w:val="24"/>
              </w:rPr>
              <w:t>Adenocarcinoma, not otherwise specified: 39</w:t>
            </w:r>
          </w:p>
        </w:tc>
      </w:tr>
      <w:tr w:rsidR="001E714D" w:rsidRPr="00424692" w14:paraId="18AE99F2" w14:textId="77777777" w:rsidTr="001E714D">
        <w:trPr>
          <w:trHeight w:val="20"/>
        </w:trPr>
        <w:tc>
          <w:tcPr>
            <w:tcW w:w="897" w:type="pct"/>
            <w:tcBorders>
              <w:bottom w:val="single" w:sz="8" w:space="0" w:color="000000"/>
              <w:right w:val="single" w:sz="8" w:space="0" w:color="000000"/>
            </w:tcBorders>
            <w:vAlign w:val="center"/>
          </w:tcPr>
          <w:p w14:paraId="0CC5C538" w14:textId="39CB813D" w:rsidR="00F4712C" w:rsidRPr="00424692" w:rsidRDefault="00F4712C" w:rsidP="00F4712C">
            <w:pPr>
              <w:ind w:left="2" w:hanging="2"/>
              <w:contextualSpacing/>
              <w:rPr>
                <w:bCs/>
                <w:sz w:val="24"/>
                <w:szCs w:val="24"/>
              </w:rPr>
            </w:pPr>
            <w:r w:rsidRPr="00424692">
              <w:rPr>
                <w:bCs/>
                <w:sz w:val="24"/>
                <w:szCs w:val="24"/>
              </w:rPr>
              <w:t>Badora-Rybicka,</w:t>
            </w:r>
            <w:r w:rsidR="00095EFE">
              <w:rPr>
                <w:bCs/>
                <w:sz w:val="24"/>
                <w:szCs w:val="24"/>
                <w:vertAlign w:val="superscript"/>
              </w:rPr>
              <w:t>9</w:t>
            </w:r>
            <w:r w:rsidRPr="00424692">
              <w:rPr>
                <w:bCs/>
                <w:sz w:val="24"/>
                <w:szCs w:val="24"/>
              </w:rPr>
              <w:t xml:space="preserve"> 2016</w:t>
            </w:r>
          </w:p>
        </w:tc>
        <w:tc>
          <w:tcPr>
            <w:tcW w:w="606" w:type="pct"/>
            <w:tcBorders>
              <w:bottom w:val="single" w:sz="8" w:space="0" w:color="000000"/>
            </w:tcBorders>
            <w:vAlign w:val="center"/>
          </w:tcPr>
          <w:p w14:paraId="1A2BA394" w14:textId="77777777" w:rsidR="00F4712C" w:rsidRPr="00424692" w:rsidRDefault="00F4712C" w:rsidP="00F4712C">
            <w:pPr>
              <w:ind w:left="2" w:hanging="2"/>
              <w:contextualSpacing/>
              <w:jc w:val="center"/>
              <w:rPr>
                <w:bCs/>
                <w:sz w:val="24"/>
                <w:szCs w:val="24"/>
              </w:rPr>
            </w:pPr>
            <w:r w:rsidRPr="00424692">
              <w:rPr>
                <w:bCs/>
                <w:sz w:val="24"/>
                <w:szCs w:val="24"/>
              </w:rPr>
              <w:t>Prior to chemotherapy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172F1B04" w14:textId="77C45416"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052C2F6A" w14:textId="6624426E"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0B23A983" w14:textId="152122C6"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722ABC50" w14:textId="0536B32D"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6C872BF7" w14:textId="4A350EB0" w:rsidR="00F4712C" w:rsidRPr="00424692" w:rsidRDefault="001E714D" w:rsidP="00F4712C">
            <w:pPr>
              <w:ind w:left="2" w:hanging="2"/>
              <w:contextualSpacing/>
              <w:jc w:val="center"/>
              <w:rPr>
                <w:bCs/>
                <w:sz w:val="24"/>
                <w:szCs w:val="24"/>
              </w:rPr>
            </w:pPr>
            <w:r w:rsidRPr="00424692">
              <w:rPr>
                <w:bCs/>
                <w:sz w:val="24"/>
                <w:szCs w:val="24"/>
              </w:rPr>
              <w:t>NA</w:t>
            </w:r>
          </w:p>
        </w:tc>
      </w:tr>
      <w:tr w:rsidR="001E714D" w:rsidRPr="00424692" w14:paraId="64219D7C" w14:textId="77777777" w:rsidTr="001E714D">
        <w:trPr>
          <w:trHeight w:val="20"/>
        </w:trPr>
        <w:tc>
          <w:tcPr>
            <w:tcW w:w="897" w:type="pct"/>
            <w:tcBorders>
              <w:bottom w:val="single" w:sz="8" w:space="0" w:color="000000"/>
              <w:right w:val="single" w:sz="8" w:space="0" w:color="000000"/>
            </w:tcBorders>
            <w:vAlign w:val="center"/>
          </w:tcPr>
          <w:p w14:paraId="7D548C16" w14:textId="69250112" w:rsidR="00F4712C" w:rsidRPr="00424692" w:rsidRDefault="00F4712C" w:rsidP="00F4712C">
            <w:pPr>
              <w:ind w:left="2" w:hanging="2"/>
              <w:contextualSpacing/>
              <w:rPr>
                <w:bCs/>
                <w:sz w:val="24"/>
                <w:szCs w:val="24"/>
              </w:rPr>
            </w:pPr>
            <w:r w:rsidRPr="00424692">
              <w:rPr>
                <w:bCs/>
                <w:sz w:val="24"/>
                <w:szCs w:val="24"/>
              </w:rPr>
              <w:t>Salman,</w:t>
            </w:r>
            <w:r w:rsidR="00095EFE">
              <w:rPr>
                <w:bCs/>
                <w:sz w:val="24"/>
                <w:szCs w:val="24"/>
                <w:vertAlign w:val="superscript"/>
              </w:rPr>
              <w:t>10</w:t>
            </w:r>
            <w:r w:rsidRPr="00424692">
              <w:rPr>
                <w:bCs/>
                <w:sz w:val="24"/>
                <w:szCs w:val="24"/>
              </w:rPr>
              <w:t xml:space="preserve"> 2020</w:t>
            </w:r>
          </w:p>
        </w:tc>
        <w:tc>
          <w:tcPr>
            <w:tcW w:w="606" w:type="pct"/>
            <w:tcBorders>
              <w:bottom w:val="single" w:sz="8" w:space="0" w:color="000000"/>
            </w:tcBorders>
            <w:vAlign w:val="center"/>
          </w:tcPr>
          <w:p w14:paraId="2F8F2A85" w14:textId="77777777" w:rsidR="00F4712C" w:rsidRPr="00424692" w:rsidRDefault="00F4712C" w:rsidP="00F4712C">
            <w:pPr>
              <w:ind w:left="2" w:hanging="2"/>
              <w:contextualSpacing/>
              <w:jc w:val="center"/>
              <w:rPr>
                <w:bCs/>
                <w:sz w:val="24"/>
                <w:szCs w:val="24"/>
              </w:rPr>
            </w:pPr>
            <w:r w:rsidRPr="00424692">
              <w:rPr>
                <w:bCs/>
                <w:sz w:val="24"/>
                <w:szCs w:val="24"/>
              </w:rPr>
              <w:t>Prior to NACT</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225EF3FB" w14:textId="77777777" w:rsidR="00F4712C" w:rsidRPr="00424692" w:rsidRDefault="00F4712C" w:rsidP="00F4712C">
            <w:pPr>
              <w:ind w:left="2" w:hanging="2"/>
              <w:contextualSpacing/>
              <w:jc w:val="center"/>
              <w:rPr>
                <w:bCs/>
                <w:sz w:val="24"/>
                <w:szCs w:val="24"/>
              </w:rPr>
            </w:pPr>
            <w:r w:rsidRPr="00424692">
              <w:rPr>
                <w:bCs/>
                <w:sz w:val="24"/>
                <w:szCs w:val="24"/>
              </w:rPr>
              <w:t>33 (29.7)</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2FC2987C" w14:textId="137DA3D4" w:rsidR="00F4712C" w:rsidRPr="00424692" w:rsidRDefault="00F4712C" w:rsidP="00F4712C">
            <w:pPr>
              <w:ind w:left="2" w:hanging="2"/>
              <w:contextualSpacing/>
              <w:jc w:val="center"/>
              <w:rPr>
                <w:bCs/>
                <w:sz w:val="24"/>
                <w:szCs w:val="24"/>
              </w:rPr>
            </w:pPr>
            <w:r w:rsidRPr="00424692">
              <w:rPr>
                <w:bCs/>
                <w:sz w:val="24"/>
                <w:szCs w:val="24"/>
              </w:rPr>
              <w:t xml:space="preserve">67.0 </w:t>
            </w:r>
            <w:r w:rsidR="001E714D" w:rsidRPr="00424692">
              <w:rPr>
                <w:bCs/>
                <w:sz w:val="24"/>
                <w:szCs w:val="24"/>
              </w:rPr>
              <w:t>(</w:t>
            </w:r>
            <w:r w:rsidRPr="00424692">
              <w:rPr>
                <w:bCs/>
                <w:sz w:val="24"/>
                <w:szCs w:val="24"/>
              </w:rPr>
              <w:t>11.1</w:t>
            </w:r>
            <w:r w:rsidR="001E714D" w:rsidRPr="00424692">
              <w:rPr>
                <w:bCs/>
                <w:sz w:val="24"/>
                <w:szCs w:val="24"/>
              </w:rPr>
              <w:t>)</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57609EA5" w14:textId="090F22B2" w:rsidR="00F4712C" w:rsidRPr="00424692" w:rsidRDefault="00F4712C" w:rsidP="00F4712C">
            <w:pPr>
              <w:pStyle w:val="NormalWeb"/>
              <w:ind w:hanging="2"/>
              <w:contextualSpacing/>
              <w:jc w:val="center"/>
              <w:rPr>
                <w:bCs/>
                <w:lang w:val="en-US"/>
              </w:rPr>
            </w:pPr>
            <w:r w:rsidRPr="00424692">
              <w:rPr>
                <w:bCs/>
                <w:lang w:val="en-US"/>
              </w:rPr>
              <w:t>2</w:t>
            </w:r>
            <w:r w:rsidR="001E714D" w:rsidRPr="00424692">
              <w:rPr>
                <w:bCs/>
                <w:lang w:val="en-US"/>
              </w:rPr>
              <w:t>,</w:t>
            </w:r>
            <w:r w:rsidRPr="00424692">
              <w:rPr>
                <w:bCs/>
                <w:lang w:val="en-US"/>
              </w:rPr>
              <w:t xml:space="preserve">306 </w:t>
            </w:r>
            <w:r w:rsidR="001E714D" w:rsidRPr="00424692">
              <w:rPr>
                <w:bCs/>
                <w:lang w:val="en-US"/>
              </w:rPr>
              <w:t>(</w:t>
            </w:r>
            <w:r w:rsidRPr="00424692">
              <w:rPr>
                <w:bCs/>
                <w:lang w:val="en-US"/>
              </w:rPr>
              <w:t>3</w:t>
            </w:r>
            <w:r w:rsidR="001E714D" w:rsidRPr="00424692">
              <w:rPr>
                <w:bCs/>
                <w:lang w:val="en-US"/>
              </w:rPr>
              <w:t>,</w:t>
            </w:r>
            <w:r w:rsidRPr="00424692">
              <w:rPr>
                <w:bCs/>
                <w:lang w:val="en-US"/>
              </w:rPr>
              <w:t>596</w:t>
            </w:r>
            <w:r w:rsidR="001E714D" w:rsidRPr="00424692">
              <w:rPr>
                <w:bCs/>
                <w:lang w:val="en-US"/>
              </w:rPr>
              <w:t>)</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30B2F25D" w14:textId="5447CBD9"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IIIC: 27 (81.8)</w:t>
            </w:r>
          </w:p>
          <w:p w14:paraId="5C08AC21" w14:textId="43FC115E"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IV: 6 (18.8)</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53C05FBB" w14:textId="286799AA"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Papillary serous: 19 (57.6)</w:t>
            </w:r>
          </w:p>
          <w:p w14:paraId="1625586F" w14:textId="4748C2A6"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Endometrioid: (-)</w:t>
            </w:r>
          </w:p>
          <w:p w14:paraId="31BE6973" w14:textId="5671A575" w:rsidR="00F4712C" w:rsidRPr="00424692" w:rsidRDefault="001E714D" w:rsidP="001E714D">
            <w:pPr>
              <w:ind w:left="2" w:hanging="2"/>
              <w:contextualSpacing/>
              <w:rPr>
                <w:bCs/>
                <w:sz w:val="24"/>
                <w:szCs w:val="24"/>
              </w:rPr>
            </w:pPr>
            <w:r w:rsidRPr="00424692">
              <w:rPr>
                <w:bCs/>
                <w:sz w:val="24"/>
                <w:szCs w:val="24"/>
              </w:rPr>
              <w:t xml:space="preserve">3. </w:t>
            </w:r>
            <w:r w:rsidR="00F4712C" w:rsidRPr="00424692">
              <w:rPr>
                <w:bCs/>
                <w:sz w:val="24"/>
                <w:szCs w:val="24"/>
              </w:rPr>
              <w:t>Other: 1 (3)</w:t>
            </w:r>
          </w:p>
          <w:p w14:paraId="70E0336C" w14:textId="54481BC5" w:rsidR="00F4712C" w:rsidRPr="00424692" w:rsidRDefault="001E714D" w:rsidP="001E714D">
            <w:pPr>
              <w:ind w:left="2" w:hanging="2"/>
              <w:contextualSpacing/>
              <w:rPr>
                <w:bCs/>
                <w:sz w:val="24"/>
                <w:szCs w:val="24"/>
              </w:rPr>
            </w:pPr>
            <w:r w:rsidRPr="00424692">
              <w:rPr>
                <w:bCs/>
                <w:sz w:val="24"/>
                <w:szCs w:val="24"/>
              </w:rPr>
              <w:t xml:space="preserve">4. </w:t>
            </w:r>
            <w:r w:rsidR="00F4712C" w:rsidRPr="00424692">
              <w:rPr>
                <w:bCs/>
                <w:sz w:val="24"/>
                <w:szCs w:val="24"/>
              </w:rPr>
              <w:t>Unknown: 13 (39.4)</w:t>
            </w:r>
          </w:p>
        </w:tc>
      </w:tr>
      <w:tr w:rsidR="001E714D" w:rsidRPr="00424692" w14:paraId="0C5320F6" w14:textId="77777777" w:rsidTr="001E714D">
        <w:trPr>
          <w:trHeight w:val="20"/>
        </w:trPr>
        <w:tc>
          <w:tcPr>
            <w:tcW w:w="897" w:type="pct"/>
            <w:tcBorders>
              <w:bottom w:val="single" w:sz="8" w:space="0" w:color="000000"/>
              <w:right w:val="single" w:sz="8" w:space="0" w:color="000000"/>
            </w:tcBorders>
            <w:vAlign w:val="center"/>
          </w:tcPr>
          <w:p w14:paraId="78A38392" w14:textId="6E696002" w:rsidR="00F4712C" w:rsidRPr="00424692" w:rsidRDefault="00F4712C" w:rsidP="00F4712C">
            <w:pPr>
              <w:ind w:left="2" w:hanging="2"/>
              <w:contextualSpacing/>
              <w:rPr>
                <w:bCs/>
                <w:sz w:val="24"/>
                <w:szCs w:val="24"/>
              </w:rPr>
            </w:pPr>
            <w:r w:rsidRPr="00424692">
              <w:rPr>
                <w:bCs/>
                <w:sz w:val="24"/>
                <w:szCs w:val="24"/>
              </w:rPr>
              <w:t>Jeerakornpassawat,</w:t>
            </w:r>
            <w:r w:rsidR="00095EFE">
              <w:rPr>
                <w:bCs/>
                <w:sz w:val="24"/>
                <w:szCs w:val="24"/>
                <w:vertAlign w:val="superscript"/>
              </w:rPr>
              <w:t>11</w:t>
            </w:r>
            <w:r w:rsidRPr="00424692">
              <w:rPr>
                <w:bCs/>
                <w:sz w:val="24"/>
                <w:szCs w:val="24"/>
              </w:rPr>
              <w:t xml:space="preserve"> 2020</w:t>
            </w:r>
          </w:p>
        </w:tc>
        <w:tc>
          <w:tcPr>
            <w:tcW w:w="606" w:type="pct"/>
            <w:tcBorders>
              <w:bottom w:val="single" w:sz="8" w:space="0" w:color="000000"/>
            </w:tcBorders>
            <w:vAlign w:val="center"/>
          </w:tcPr>
          <w:p w14:paraId="33FB7CF7" w14:textId="77777777" w:rsidR="00F4712C" w:rsidRPr="00424692" w:rsidRDefault="00F4712C" w:rsidP="00F4712C">
            <w:pPr>
              <w:ind w:left="2" w:hanging="2"/>
              <w:contextualSpacing/>
              <w:jc w:val="center"/>
              <w:rPr>
                <w:bCs/>
                <w:sz w:val="24"/>
                <w:szCs w:val="24"/>
              </w:rPr>
            </w:pPr>
            <w:r w:rsidRPr="00424692">
              <w:rPr>
                <w:bCs/>
                <w:sz w:val="24"/>
                <w:szCs w:val="24"/>
              </w:rPr>
              <w:t>Prior to initial treatment</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51F5CC32" w14:textId="77777777" w:rsidR="00F4712C" w:rsidRPr="00424692" w:rsidRDefault="00F4712C" w:rsidP="00F4712C">
            <w:pPr>
              <w:ind w:left="2" w:hanging="2"/>
              <w:contextualSpacing/>
              <w:jc w:val="center"/>
              <w:rPr>
                <w:bCs/>
                <w:sz w:val="24"/>
                <w:szCs w:val="24"/>
              </w:rPr>
            </w:pPr>
            <w:r w:rsidRPr="00424692">
              <w:rPr>
                <w:bCs/>
                <w:sz w:val="24"/>
                <w:szCs w:val="24"/>
              </w:rPr>
              <w:t>152 (49.7)</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5DA78A68" w14:textId="6CB9C95C"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F75955D" w14:textId="4221A781"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&lt;365 IU/</w:t>
            </w:r>
            <w:r w:rsidR="00C03729">
              <w:rPr>
                <w:bCs/>
                <w:sz w:val="24"/>
                <w:szCs w:val="24"/>
              </w:rPr>
              <w:t>l</w:t>
            </w:r>
            <w:r w:rsidR="00F4712C" w:rsidRPr="00424692">
              <w:rPr>
                <w:bCs/>
                <w:sz w:val="24"/>
                <w:szCs w:val="24"/>
              </w:rPr>
              <w:t>: 57</w:t>
            </w:r>
          </w:p>
          <w:p w14:paraId="5CF00BF7" w14:textId="452772CF"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≥365 IU/</w:t>
            </w:r>
            <w:r w:rsidR="00C03729">
              <w:rPr>
                <w:bCs/>
                <w:sz w:val="24"/>
                <w:szCs w:val="24"/>
              </w:rPr>
              <w:t>l</w:t>
            </w:r>
            <w:r w:rsidR="00F4712C" w:rsidRPr="00424692">
              <w:rPr>
                <w:bCs/>
                <w:sz w:val="24"/>
                <w:szCs w:val="24"/>
              </w:rPr>
              <w:t>: 95</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0007F440" w14:textId="32A0A291"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I/II: 49 (32.2)</w:t>
            </w:r>
          </w:p>
          <w:p w14:paraId="4C31F5D8" w14:textId="064D5233"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III/IV: 103 (67.7)</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33B13AF5" w14:textId="0E912A0D" w:rsidR="00F4712C" w:rsidRPr="00424692" w:rsidRDefault="001E714D" w:rsidP="001E714D">
            <w:pPr>
              <w:pStyle w:val="ListParagraph"/>
              <w:widowControl/>
              <w:autoSpaceDE/>
              <w:autoSpaceDN/>
              <w:contextualSpacing/>
              <w:rPr>
                <w:bCs/>
                <w:sz w:val="24"/>
                <w:szCs w:val="24"/>
              </w:rPr>
            </w:pPr>
            <w:r w:rsidRPr="00424692">
              <w:rPr>
                <w:bCs/>
                <w:sz w:val="24"/>
                <w:szCs w:val="24"/>
              </w:rPr>
              <w:t xml:space="preserve">1. </w:t>
            </w:r>
            <w:r w:rsidR="00F4712C" w:rsidRPr="00424692">
              <w:rPr>
                <w:bCs/>
                <w:sz w:val="24"/>
                <w:szCs w:val="24"/>
              </w:rPr>
              <w:t>Serous: 73 (49.0)</w:t>
            </w:r>
          </w:p>
          <w:p w14:paraId="312FA82A" w14:textId="374B11D5" w:rsidR="00F4712C" w:rsidRPr="00424692" w:rsidRDefault="001E714D" w:rsidP="001E714D">
            <w:pPr>
              <w:pStyle w:val="ListParagraph"/>
              <w:widowControl/>
              <w:autoSpaceDE/>
              <w:autoSpaceDN/>
              <w:contextualSpacing/>
              <w:rPr>
                <w:bCs/>
                <w:sz w:val="24"/>
                <w:szCs w:val="24"/>
              </w:rPr>
            </w:pPr>
            <w:r w:rsidRPr="00424692">
              <w:rPr>
                <w:bCs/>
                <w:sz w:val="24"/>
                <w:szCs w:val="24"/>
              </w:rPr>
              <w:t xml:space="preserve">2. </w:t>
            </w:r>
            <w:proofErr w:type="gramStart"/>
            <w:r w:rsidR="00F4712C" w:rsidRPr="00424692">
              <w:rPr>
                <w:bCs/>
                <w:sz w:val="24"/>
                <w:szCs w:val="24"/>
              </w:rPr>
              <w:t>Non-serous</w:t>
            </w:r>
            <w:proofErr w:type="gramEnd"/>
            <w:r w:rsidR="00F4712C" w:rsidRPr="00424692">
              <w:rPr>
                <w:bCs/>
                <w:sz w:val="24"/>
                <w:szCs w:val="24"/>
              </w:rPr>
              <w:t>: 79 (51.0)</w:t>
            </w:r>
          </w:p>
        </w:tc>
      </w:tr>
      <w:tr w:rsidR="001E714D" w:rsidRPr="00424692" w14:paraId="24E826FD" w14:textId="77777777" w:rsidTr="001E714D">
        <w:trPr>
          <w:trHeight w:val="20"/>
        </w:trPr>
        <w:tc>
          <w:tcPr>
            <w:tcW w:w="897" w:type="pct"/>
            <w:tcBorders>
              <w:bottom w:val="single" w:sz="8" w:space="0" w:color="000000"/>
              <w:right w:val="single" w:sz="8" w:space="0" w:color="000000"/>
            </w:tcBorders>
            <w:vAlign w:val="center"/>
          </w:tcPr>
          <w:p w14:paraId="6C243EB4" w14:textId="70BA7944" w:rsidR="00F4712C" w:rsidRPr="00424692" w:rsidRDefault="00F4712C" w:rsidP="00F4712C">
            <w:pPr>
              <w:ind w:left="2" w:hanging="2"/>
              <w:contextualSpacing/>
              <w:rPr>
                <w:bCs/>
                <w:sz w:val="24"/>
                <w:szCs w:val="24"/>
              </w:rPr>
            </w:pPr>
            <w:r w:rsidRPr="00424692">
              <w:rPr>
                <w:bCs/>
                <w:sz w:val="24"/>
                <w:szCs w:val="24"/>
              </w:rPr>
              <w:t>Cho,</w:t>
            </w:r>
            <w:r w:rsidR="00095EFE">
              <w:rPr>
                <w:bCs/>
                <w:sz w:val="24"/>
                <w:szCs w:val="24"/>
                <w:vertAlign w:val="superscript"/>
              </w:rPr>
              <w:t>12</w:t>
            </w:r>
            <w:r w:rsidRPr="00424692">
              <w:rPr>
                <w:bCs/>
                <w:sz w:val="24"/>
                <w:szCs w:val="24"/>
              </w:rPr>
              <w:t xml:space="preserve"> 2009</w:t>
            </w:r>
          </w:p>
        </w:tc>
        <w:tc>
          <w:tcPr>
            <w:tcW w:w="606" w:type="pct"/>
            <w:tcBorders>
              <w:bottom w:val="single" w:sz="8" w:space="0" w:color="000000"/>
            </w:tcBorders>
            <w:vAlign w:val="center"/>
          </w:tcPr>
          <w:p w14:paraId="45866837" w14:textId="77777777" w:rsidR="00F4712C" w:rsidRPr="00424692" w:rsidRDefault="00F4712C" w:rsidP="00F4712C">
            <w:pPr>
              <w:ind w:left="2" w:hanging="2"/>
              <w:contextualSpacing/>
              <w:jc w:val="center"/>
              <w:rPr>
                <w:bCs/>
                <w:sz w:val="24"/>
                <w:szCs w:val="24"/>
              </w:rPr>
            </w:pPr>
            <w:r w:rsidRPr="00424692">
              <w:rPr>
                <w:bCs/>
                <w:sz w:val="24"/>
                <w:szCs w:val="24"/>
              </w:rPr>
              <w:t xml:space="preserve">Prior to surgery, but there were 8 patients was recurrence </w:t>
            </w:r>
            <w:r w:rsidRPr="00424692">
              <w:rPr>
                <w:bCs/>
                <w:sz w:val="24"/>
                <w:szCs w:val="24"/>
              </w:rPr>
              <w:lastRenderedPageBreak/>
              <w:t>disease</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5058E451" w14:textId="185627AA" w:rsidR="00F4712C" w:rsidRPr="00424692" w:rsidRDefault="001E714D" w:rsidP="00F4712C">
            <w:pPr>
              <w:ind w:left="2" w:hanging="2"/>
              <w:contextualSpacing/>
              <w:jc w:val="center"/>
              <w:rPr>
                <w:bCs/>
                <w:sz w:val="24"/>
                <w:szCs w:val="24"/>
              </w:rPr>
            </w:pPr>
            <w:r w:rsidRPr="00424692">
              <w:rPr>
                <w:bCs/>
                <w:sz w:val="24"/>
                <w:szCs w:val="24"/>
              </w:rPr>
              <w:lastRenderedPageBreak/>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9092431" w14:textId="3E4EDDD3" w:rsidR="00F4712C" w:rsidRPr="00424692" w:rsidRDefault="001E714D" w:rsidP="001E714D">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6EBE76F1" w14:textId="6F56C12D"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1BE5E13B" w14:textId="51F5E5EB"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5CFE5AA4" w14:textId="5C69E164" w:rsidR="00F4712C" w:rsidRPr="00424692" w:rsidRDefault="001E714D" w:rsidP="00F4712C">
            <w:pPr>
              <w:ind w:left="2" w:hanging="2"/>
              <w:contextualSpacing/>
              <w:jc w:val="center"/>
              <w:rPr>
                <w:bCs/>
                <w:sz w:val="24"/>
                <w:szCs w:val="24"/>
              </w:rPr>
            </w:pPr>
            <w:r w:rsidRPr="00424692">
              <w:rPr>
                <w:bCs/>
                <w:sz w:val="24"/>
                <w:szCs w:val="24"/>
              </w:rPr>
              <w:t>NA</w:t>
            </w:r>
          </w:p>
        </w:tc>
      </w:tr>
      <w:tr w:rsidR="001E714D" w:rsidRPr="00424692" w14:paraId="71EA2818" w14:textId="77777777" w:rsidTr="001E714D">
        <w:trPr>
          <w:trHeight w:val="860"/>
        </w:trPr>
        <w:tc>
          <w:tcPr>
            <w:tcW w:w="897" w:type="pct"/>
            <w:tcBorders>
              <w:bottom w:val="single" w:sz="8" w:space="0" w:color="000000"/>
              <w:right w:val="single" w:sz="8" w:space="0" w:color="000000"/>
            </w:tcBorders>
            <w:vAlign w:val="center"/>
          </w:tcPr>
          <w:p w14:paraId="792C707A" w14:textId="56C9CDF1" w:rsidR="00F4712C" w:rsidRPr="00424692" w:rsidRDefault="00F4712C" w:rsidP="00F4712C">
            <w:pPr>
              <w:ind w:left="2" w:hanging="2"/>
              <w:contextualSpacing/>
              <w:rPr>
                <w:bCs/>
                <w:sz w:val="24"/>
                <w:szCs w:val="24"/>
              </w:rPr>
            </w:pPr>
            <w:r w:rsidRPr="00424692">
              <w:rPr>
                <w:bCs/>
                <w:sz w:val="24"/>
                <w:szCs w:val="24"/>
              </w:rPr>
              <w:t>Feng,</w:t>
            </w:r>
            <w:r w:rsidR="00095EFE">
              <w:rPr>
                <w:bCs/>
                <w:sz w:val="24"/>
                <w:szCs w:val="24"/>
                <w:vertAlign w:val="superscript"/>
              </w:rPr>
              <w:t>13</w:t>
            </w:r>
            <w:r w:rsidRPr="00424692">
              <w:rPr>
                <w:bCs/>
                <w:sz w:val="24"/>
                <w:szCs w:val="24"/>
              </w:rPr>
              <w:t xml:space="preserve"> 2016</w:t>
            </w:r>
          </w:p>
        </w:tc>
        <w:tc>
          <w:tcPr>
            <w:tcW w:w="606" w:type="pct"/>
            <w:tcBorders>
              <w:bottom w:val="single" w:sz="8" w:space="0" w:color="000000"/>
            </w:tcBorders>
            <w:vAlign w:val="center"/>
          </w:tcPr>
          <w:p w14:paraId="38E3FDD8"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1D8E1552" w14:textId="77777777" w:rsidR="00F4712C" w:rsidRPr="00424692" w:rsidRDefault="00F4712C" w:rsidP="00F4712C">
            <w:pPr>
              <w:ind w:left="2" w:hanging="2"/>
              <w:contextualSpacing/>
              <w:jc w:val="center"/>
              <w:rPr>
                <w:bCs/>
                <w:sz w:val="24"/>
                <w:szCs w:val="24"/>
              </w:rPr>
            </w:pPr>
            <w:r w:rsidRPr="00424692">
              <w:rPr>
                <w:bCs/>
                <w:sz w:val="24"/>
                <w:szCs w:val="24"/>
              </w:rPr>
              <w:t>440 (50.3)</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6ED4BA10" w14:textId="11AB853B"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&lt;56: 234 (53.2)</w:t>
            </w:r>
          </w:p>
          <w:p w14:paraId="0C6479C7" w14:textId="761F5DA0" w:rsidR="00F4712C" w:rsidRPr="00424692" w:rsidRDefault="001E714D" w:rsidP="001E714D">
            <w:pPr>
              <w:contextualSpacing/>
              <w:rPr>
                <w:bCs/>
                <w:sz w:val="24"/>
                <w:szCs w:val="24"/>
              </w:rPr>
            </w:pPr>
            <w:r w:rsidRPr="00424692">
              <w:rPr>
                <w:bCs/>
                <w:sz w:val="24"/>
                <w:szCs w:val="24"/>
              </w:rPr>
              <w:t xml:space="preserve">2. </w:t>
            </w:r>
            <w:r w:rsidR="00F4712C" w:rsidRPr="00424692">
              <w:rPr>
                <w:bCs/>
                <w:sz w:val="24"/>
                <w:szCs w:val="24"/>
              </w:rPr>
              <w:t>≥56: 206 (46.8)</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05A08E1B" w14:textId="0F5F2945"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&lt;500: 53 (12.1)</w:t>
            </w:r>
          </w:p>
          <w:p w14:paraId="506A1A57" w14:textId="45C06C3B" w:rsidR="00F4712C" w:rsidRPr="00424692" w:rsidRDefault="001E714D" w:rsidP="001E714D">
            <w:pPr>
              <w:contextualSpacing/>
              <w:rPr>
                <w:bCs/>
                <w:sz w:val="24"/>
                <w:szCs w:val="24"/>
              </w:rPr>
            </w:pPr>
            <w:r w:rsidRPr="00424692">
              <w:rPr>
                <w:bCs/>
                <w:sz w:val="24"/>
                <w:szCs w:val="24"/>
              </w:rPr>
              <w:t xml:space="preserve">2. </w:t>
            </w:r>
            <w:r w:rsidR="00F4712C" w:rsidRPr="00424692">
              <w:rPr>
                <w:bCs/>
                <w:sz w:val="24"/>
                <w:szCs w:val="24"/>
              </w:rPr>
              <w:t>≥500: 375 (85.2)</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11815DD7" w14:textId="60B746E0"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I/II: 20 (4.5)</w:t>
            </w:r>
          </w:p>
          <w:p w14:paraId="49522123" w14:textId="7A46E3C0" w:rsidR="00F4712C" w:rsidRPr="00424692" w:rsidRDefault="001E714D" w:rsidP="001E714D">
            <w:pPr>
              <w:contextualSpacing/>
              <w:rPr>
                <w:bCs/>
                <w:sz w:val="24"/>
                <w:szCs w:val="24"/>
              </w:rPr>
            </w:pPr>
            <w:r w:rsidRPr="00424692">
              <w:rPr>
                <w:bCs/>
                <w:sz w:val="24"/>
                <w:szCs w:val="24"/>
              </w:rPr>
              <w:t xml:space="preserve">2. </w:t>
            </w:r>
            <w:r w:rsidR="00F4712C" w:rsidRPr="00424692">
              <w:rPr>
                <w:bCs/>
                <w:sz w:val="24"/>
                <w:szCs w:val="24"/>
              </w:rPr>
              <w:t>III/IV: 420 (95.5)</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6ECE0D89" w14:textId="5A9563FE" w:rsidR="00F4712C" w:rsidRPr="00424692" w:rsidRDefault="00F4712C" w:rsidP="00F4712C">
            <w:pPr>
              <w:ind w:left="2" w:hanging="2"/>
              <w:contextualSpacing/>
              <w:jc w:val="center"/>
              <w:rPr>
                <w:bCs/>
                <w:sz w:val="24"/>
                <w:szCs w:val="24"/>
              </w:rPr>
            </w:pPr>
            <w:r w:rsidRPr="00424692">
              <w:rPr>
                <w:bCs/>
                <w:sz w:val="24"/>
                <w:szCs w:val="24"/>
              </w:rPr>
              <w:t>HGS</w:t>
            </w:r>
            <w:r w:rsidR="00986B31" w:rsidRPr="00424692">
              <w:rPr>
                <w:bCs/>
                <w:sz w:val="24"/>
                <w:szCs w:val="24"/>
              </w:rPr>
              <w:t>O</w:t>
            </w:r>
            <w:r w:rsidRPr="00424692">
              <w:rPr>
                <w:bCs/>
                <w:sz w:val="24"/>
                <w:szCs w:val="24"/>
              </w:rPr>
              <w:t>C</w:t>
            </w:r>
          </w:p>
        </w:tc>
      </w:tr>
      <w:tr w:rsidR="001E714D" w:rsidRPr="00424692" w14:paraId="5440A4DC" w14:textId="77777777" w:rsidTr="001E714D">
        <w:trPr>
          <w:trHeight w:val="20"/>
        </w:trPr>
        <w:tc>
          <w:tcPr>
            <w:tcW w:w="897" w:type="pct"/>
            <w:tcBorders>
              <w:bottom w:val="single" w:sz="8" w:space="0" w:color="000000"/>
              <w:right w:val="single" w:sz="8" w:space="0" w:color="000000"/>
            </w:tcBorders>
            <w:vAlign w:val="center"/>
          </w:tcPr>
          <w:p w14:paraId="3F110D24" w14:textId="06E3369F" w:rsidR="00F4712C" w:rsidRPr="00424692" w:rsidRDefault="00F4712C" w:rsidP="00F4712C">
            <w:pPr>
              <w:ind w:left="2" w:hanging="2"/>
              <w:contextualSpacing/>
              <w:rPr>
                <w:bCs/>
                <w:sz w:val="24"/>
                <w:szCs w:val="24"/>
              </w:rPr>
            </w:pPr>
            <w:r w:rsidRPr="00424692">
              <w:rPr>
                <w:bCs/>
                <w:sz w:val="24"/>
                <w:szCs w:val="24"/>
              </w:rPr>
              <w:t>Wang,</w:t>
            </w:r>
            <w:r w:rsidR="00095EFE">
              <w:rPr>
                <w:bCs/>
                <w:sz w:val="24"/>
                <w:szCs w:val="24"/>
                <w:vertAlign w:val="superscript"/>
              </w:rPr>
              <w:t>14</w:t>
            </w:r>
            <w:r w:rsidRPr="00424692">
              <w:rPr>
                <w:bCs/>
                <w:sz w:val="24"/>
                <w:szCs w:val="24"/>
              </w:rPr>
              <w:t xml:space="preserve"> 2014</w:t>
            </w:r>
          </w:p>
        </w:tc>
        <w:tc>
          <w:tcPr>
            <w:tcW w:w="606" w:type="pct"/>
            <w:tcBorders>
              <w:bottom w:val="single" w:sz="8" w:space="0" w:color="000000"/>
            </w:tcBorders>
            <w:vAlign w:val="center"/>
          </w:tcPr>
          <w:p w14:paraId="0C31F1A0"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730F4EE7" w14:textId="77777777" w:rsidR="00F4712C" w:rsidRPr="00424692" w:rsidRDefault="00F4712C" w:rsidP="00F4712C">
            <w:pPr>
              <w:ind w:left="2" w:hanging="2"/>
              <w:contextualSpacing/>
              <w:jc w:val="center"/>
              <w:rPr>
                <w:bCs/>
                <w:sz w:val="24"/>
                <w:szCs w:val="24"/>
              </w:rPr>
            </w:pPr>
            <w:r w:rsidRPr="00424692">
              <w:rPr>
                <w:bCs/>
                <w:sz w:val="24"/>
                <w:szCs w:val="24"/>
              </w:rPr>
              <w:t>31 (24.6)</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2D52F492" w14:textId="518C52E8"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≤50: 15 (48.4%)</w:t>
            </w:r>
          </w:p>
          <w:p w14:paraId="7DFB776D" w14:textId="3379D68D" w:rsidR="00F4712C" w:rsidRPr="00424692" w:rsidRDefault="001E714D" w:rsidP="001E714D">
            <w:pPr>
              <w:contextualSpacing/>
              <w:rPr>
                <w:bCs/>
                <w:sz w:val="24"/>
                <w:szCs w:val="24"/>
              </w:rPr>
            </w:pPr>
            <w:r w:rsidRPr="00424692">
              <w:rPr>
                <w:bCs/>
                <w:sz w:val="24"/>
                <w:szCs w:val="24"/>
              </w:rPr>
              <w:t xml:space="preserve">2. </w:t>
            </w:r>
            <w:r w:rsidR="00F4712C" w:rsidRPr="00424692">
              <w:rPr>
                <w:bCs/>
                <w:sz w:val="24"/>
                <w:szCs w:val="24"/>
              </w:rPr>
              <w:t>&gt;50: 16 (51.6%)</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33218350" w14:textId="79063D08"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≤35: 2 (6.45%)</w:t>
            </w:r>
          </w:p>
          <w:p w14:paraId="438A0262" w14:textId="2A374297" w:rsidR="00F4712C" w:rsidRPr="00424692" w:rsidRDefault="001E714D" w:rsidP="001E714D">
            <w:pPr>
              <w:contextualSpacing/>
              <w:rPr>
                <w:bCs/>
                <w:sz w:val="24"/>
                <w:szCs w:val="24"/>
              </w:rPr>
            </w:pPr>
            <w:r w:rsidRPr="00424692">
              <w:rPr>
                <w:bCs/>
                <w:sz w:val="24"/>
                <w:szCs w:val="24"/>
              </w:rPr>
              <w:t xml:space="preserve">2. </w:t>
            </w:r>
            <w:r w:rsidR="00F4712C" w:rsidRPr="00424692">
              <w:rPr>
                <w:bCs/>
                <w:sz w:val="24"/>
                <w:szCs w:val="24"/>
              </w:rPr>
              <w:t>&gt;35: 29 (93.5%)</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208A3D00" w14:textId="4E1FD90A" w:rsidR="00F4712C" w:rsidRPr="00424692" w:rsidRDefault="001E714D" w:rsidP="00C03729">
            <w:pPr>
              <w:ind w:left="2" w:hanging="2"/>
              <w:contextualSpacing/>
              <w:rPr>
                <w:bCs/>
                <w:sz w:val="24"/>
                <w:szCs w:val="24"/>
              </w:rPr>
            </w:pPr>
            <w:r w:rsidRPr="00424692">
              <w:rPr>
                <w:bCs/>
                <w:sz w:val="24"/>
                <w:szCs w:val="24"/>
              </w:rPr>
              <w:t xml:space="preserve">1. </w:t>
            </w:r>
            <w:r w:rsidR="00F4712C" w:rsidRPr="00424692">
              <w:rPr>
                <w:bCs/>
                <w:sz w:val="24"/>
                <w:szCs w:val="24"/>
              </w:rPr>
              <w:t>I/II: 3 (9.7%)</w:t>
            </w:r>
          </w:p>
          <w:p w14:paraId="4410E372" w14:textId="265D1A32" w:rsidR="00F4712C" w:rsidRPr="00424692" w:rsidRDefault="001E714D" w:rsidP="00C03729">
            <w:pPr>
              <w:contextualSpacing/>
              <w:rPr>
                <w:bCs/>
                <w:sz w:val="24"/>
                <w:szCs w:val="24"/>
              </w:rPr>
            </w:pPr>
            <w:r w:rsidRPr="00424692">
              <w:rPr>
                <w:bCs/>
                <w:sz w:val="24"/>
                <w:szCs w:val="24"/>
              </w:rPr>
              <w:t xml:space="preserve">2. </w:t>
            </w:r>
            <w:r w:rsidR="00F4712C" w:rsidRPr="00424692">
              <w:rPr>
                <w:bCs/>
                <w:sz w:val="24"/>
                <w:szCs w:val="24"/>
              </w:rPr>
              <w:t>III/IV: 28 (90.3%)</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56F25B2A" w14:textId="3BD80547"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Serous ovarian cancer</w:t>
            </w:r>
          </w:p>
          <w:p w14:paraId="2AA0306D" w14:textId="5AFFFA26"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Low grade: 9 (29%)</w:t>
            </w:r>
          </w:p>
          <w:p w14:paraId="5E6E9B17" w14:textId="012D35CA" w:rsidR="00F4712C" w:rsidRPr="00424692" w:rsidRDefault="001E714D" w:rsidP="001E714D">
            <w:pPr>
              <w:ind w:left="2" w:hanging="2"/>
              <w:contextualSpacing/>
              <w:rPr>
                <w:bCs/>
                <w:sz w:val="24"/>
                <w:szCs w:val="24"/>
              </w:rPr>
            </w:pPr>
            <w:r w:rsidRPr="00424692">
              <w:rPr>
                <w:bCs/>
                <w:sz w:val="24"/>
                <w:szCs w:val="24"/>
              </w:rPr>
              <w:t xml:space="preserve">3. </w:t>
            </w:r>
            <w:r w:rsidR="00F4712C" w:rsidRPr="00424692">
              <w:rPr>
                <w:bCs/>
                <w:sz w:val="24"/>
                <w:szCs w:val="24"/>
              </w:rPr>
              <w:t>High grade: 22 (71%)</w:t>
            </w:r>
          </w:p>
        </w:tc>
      </w:tr>
      <w:tr w:rsidR="001E714D" w:rsidRPr="00424692" w14:paraId="2519A48E" w14:textId="77777777" w:rsidTr="001E714D">
        <w:trPr>
          <w:trHeight w:val="20"/>
        </w:trPr>
        <w:tc>
          <w:tcPr>
            <w:tcW w:w="897" w:type="pct"/>
            <w:tcBorders>
              <w:bottom w:val="single" w:sz="8" w:space="0" w:color="000000"/>
              <w:right w:val="single" w:sz="8" w:space="0" w:color="000000"/>
            </w:tcBorders>
            <w:vAlign w:val="center"/>
          </w:tcPr>
          <w:p w14:paraId="4F016E27" w14:textId="368119CF" w:rsidR="00F4712C" w:rsidRPr="00424692" w:rsidRDefault="00F4712C" w:rsidP="00F4712C">
            <w:pPr>
              <w:ind w:left="2" w:hanging="2"/>
              <w:contextualSpacing/>
              <w:rPr>
                <w:bCs/>
                <w:sz w:val="24"/>
                <w:szCs w:val="24"/>
              </w:rPr>
            </w:pPr>
            <w:r w:rsidRPr="00424692">
              <w:rPr>
                <w:bCs/>
                <w:sz w:val="24"/>
                <w:szCs w:val="24"/>
              </w:rPr>
              <w:t>Li,</w:t>
            </w:r>
            <w:r w:rsidR="00095EFE">
              <w:rPr>
                <w:bCs/>
                <w:sz w:val="24"/>
                <w:szCs w:val="24"/>
                <w:vertAlign w:val="superscript"/>
              </w:rPr>
              <w:t>15</w:t>
            </w:r>
            <w:r w:rsidRPr="00424692">
              <w:rPr>
                <w:bCs/>
                <w:sz w:val="24"/>
                <w:szCs w:val="24"/>
              </w:rPr>
              <w:t xml:space="preserve"> 2017</w:t>
            </w:r>
          </w:p>
        </w:tc>
        <w:tc>
          <w:tcPr>
            <w:tcW w:w="606" w:type="pct"/>
            <w:tcBorders>
              <w:bottom w:val="single" w:sz="8" w:space="0" w:color="000000"/>
            </w:tcBorders>
            <w:vAlign w:val="center"/>
          </w:tcPr>
          <w:p w14:paraId="04EBAD08"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6059BDBB" w14:textId="77777777" w:rsidR="00F4712C" w:rsidRPr="00424692" w:rsidRDefault="00F4712C" w:rsidP="00F4712C">
            <w:pPr>
              <w:ind w:left="2" w:hanging="2"/>
              <w:contextualSpacing/>
              <w:jc w:val="center"/>
              <w:rPr>
                <w:bCs/>
                <w:sz w:val="24"/>
                <w:szCs w:val="24"/>
              </w:rPr>
            </w:pPr>
            <w:r w:rsidRPr="00424692">
              <w:rPr>
                <w:bCs/>
                <w:sz w:val="24"/>
                <w:szCs w:val="24"/>
              </w:rPr>
              <w:t>111 (32.4)</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6DD0A71E" w14:textId="6CF08038"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78A81139" w14:textId="670EA755"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62A9A420" w14:textId="3E4BE953"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210A5989" w14:textId="7DCF0F5A" w:rsidR="00F4712C" w:rsidRPr="00424692" w:rsidRDefault="00F4712C" w:rsidP="00F4712C">
            <w:pPr>
              <w:ind w:left="2" w:hanging="2"/>
              <w:contextualSpacing/>
              <w:jc w:val="center"/>
              <w:rPr>
                <w:bCs/>
                <w:sz w:val="24"/>
                <w:szCs w:val="24"/>
              </w:rPr>
            </w:pPr>
            <w:r w:rsidRPr="00424692">
              <w:rPr>
                <w:bCs/>
                <w:sz w:val="24"/>
                <w:szCs w:val="24"/>
              </w:rPr>
              <w:t xml:space="preserve">High </w:t>
            </w:r>
            <w:r w:rsidR="001E714D" w:rsidRPr="00424692">
              <w:rPr>
                <w:bCs/>
                <w:sz w:val="24"/>
                <w:szCs w:val="24"/>
              </w:rPr>
              <w:t>grade serous ovarian cancer</w:t>
            </w:r>
          </w:p>
        </w:tc>
      </w:tr>
      <w:tr w:rsidR="001E714D" w:rsidRPr="00424692" w14:paraId="16913520" w14:textId="77777777" w:rsidTr="001E714D">
        <w:trPr>
          <w:trHeight w:val="244"/>
        </w:trPr>
        <w:tc>
          <w:tcPr>
            <w:tcW w:w="897" w:type="pct"/>
            <w:tcBorders>
              <w:bottom w:val="single" w:sz="8" w:space="0" w:color="000000"/>
              <w:right w:val="single" w:sz="8" w:space="0" w:color="000000"/>
            </w:tcBorders>
            <w:vAlign w:val="center"/>
          </w:tcPr>
          <w:p w14:paraId="63CA8F82" w14:textId="73B457D4" w:rsidR="00F4712C" w:rsidRPr="00424692" w:rsidRDefault="00F4712C" w:rsidP="00F4712C">
            <w:pPr>
              <w:ind w:left="2" w:hanging="2"/>
              <w:contextualSpacing/>
              <w:rPr>
                <w:bCs/>
                <w:sz w:val="24"/>
                <w:szCs w:val="24"/>
              </w:rPr>
            </w:pPr>
            <w:r w:rsidRPr="00424692">
              <w:rPr>
                <w:bCs/>
                <w:sz w:val="24"/>
                <w:szCs w:val="24"/>
              </w:rPr>
              <w:t>Kim,</w:t>
            </w:r>
            <w:r w:rsidR="00095EFE">
              <w:rPr>
                <w:bCs/>
                <w:sz w:val="24"/>
                <w:szCs w:val="24"/>
                <w:vertAlign w:val="superscript"/>
              </w:rPr>
              <w:t>16</w:t>
            </w:r>
            <w:r w:rsidRPr="00424692">
              <w:rPr>
                <w:bCs/>
                <w:sz w:val="24"/>
                <w:szCs w:val="24"/>
              </w:rPr>
              <w:t xml:space="preserve"> 201</w:t>
            </w:r>
            <w:r w:rsidRPr="00424692">
              <w:rPr>
                <w:bCs/>
                <w:sz w:val="24"/>
                <w:szCs w:val="24"/>
                <w:vertAlign w:val="superscript"/>
              </w:rPr>
              <w:t>9</w:t>
            </w:r>
          </w:p>
        </w:tc>
        <w:tc>
          <w:tcPr>
            <w:tcW w:w="606" w:type="pct"/>
            <w:tcBorders>
              <w:bottom w:val="single" w:sz="8" w:space="0" w:color="000000"/>
            </w:tcBorders>
            <w:vAlign w:val="center"/>
          </w:tcPr>
          <w:p w14:paraId="6CF069B5" w14:textId="77777777" w:rsidR="00F4712C" w:rsidRPr="00424692" w:rsidRDefault="00F4712C" w:rsidP="00F4712C">
            <w:pPr>
              <w:ind w:left="2" w:hanging="2"/>
              <w:contextualSpacing/>
              <w:jc w:val="center"/>
              <w:rPr>
                <w:bCs/>
                <w:sz w:val="24"/>
                <w:szCs w:val="24"/>
              </w:rPr>
            </w:pPr>
            <w:r w:rsidRPr="00424692">
              <w:rPr>
                <w:bCs/>
                <w:sz w:val="24"/>
                <w:szCs w:val="24"/>
              </w:rPr>
              <w:t>Prior to NACT</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5E142BC7" w14:textId="33DA75FD" w:rsidR="00F4712C" w:rsidRPr="00424692" w:rsidRDefault="001E714D" w:rsidP="00F4712C">
            <w:pPr>
              <w:ind w:left="2" w:hanging="2"/>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46E06834" w14:textId="52E28310" w:rsidR="00F4712C" w:rsidRPr="00424692" w:rsidRDefault="001E714D" w:rsidP="001E714D">
            <w:pPr>
              <w:ind w:left="2" w:hanging="2"/>
              <w:rPr>
                <w:bCs/>
                <w:sz w:val="24"/>
                <w:szCs w:val="24"/>
              </w:rPr>
            </w:pPr>
            <w:r w:rsidRPr="00424692">
              <w:rPr>
                <w:bCs/>
                <w:sz w:val="24"/>
                <w:szCs w:val="24"/>
              </w:rPr>
              <w:t xml:space="preserve">1. </w:t>
            </w:r>
            <w:r w:rsidR="00F4712C" w:rsidRPr="00424692">
              <w:rPr>
                <w:bCs/>
                <w:sz w:val="24"/>
                <w:szCs w:val="24"/>
              </w:rPr>
              <w:t>≤65: 72 (76.6)</w:t>
            </w:r>
          </w:p>
          <w:p w14:paraId="2A0A76D9" w14:textId="489C8D37" w:rsidR="00F4712C" w:rsidRPr="00424692" w:rsidRDefault="001E714D" w:rsidP="001E714D">
            <w:pPr>
              <w:ind w:left="2" w:hanging="2"/>
              <w:rPr>
                <w:bCs/>
                <w:sz w:val="24"/>
                <w:szCs w:val="24"/>
              </w:rPr>
            </w:pPr>
            <w:r w:rsidRPr="00424692">
              <w:rPr>
                <w:bCs/>
                <w:sz w:val="24"/>
                <w:szCs w:val="24"/>
              </w:rPr>
              <w:t xml:space="preserve">2. </w:t>
            </w:r>
            <w:r w:rsidR="00F4712C" w:rsidRPr="00424692">
              <w:rPr>
                <w:bCs/>
                <w:sz w:val="24"/>
                <w:szCs w:val="24"/>
              </w:rPr>
              <w:t>&gt;65: 22 (23.4)</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6E7E2225" w14:textId="687CCBCC" w:rsidR="00F4712C" w:rsidRPr="00424692" w:rsidRDefault="001E714D" w:rsidP="001E714D">
            <w:pPr>
              <w:ind w:left="2" w:hanging="2"/>
              <w:rPr>
                <w:bCs/>
                <w:sz w:val="24"/>
                <w:szCs w:val="24"/>
              </w:rPr>
            </w:pPr>
            <w:r w:rsidRPr="00424692">
              <w:rPr>
                <w:bCs/>
                <w:sz w:val="24"/>
                <w:szCs w:val="24"/>
              </w:rPr>
              <w:t xml:space="preserve">1. </w:t>
            </w:r>
            <w:r w:rsidR="00F4712C" w:rsidRPr="00424692">
              <w:rPr>
                <w:bCs/>
                <w:sz w:val="24"/>
                <w:szCs w:val="24"/>
              </w:rPr>
              <w:t>≤2,000: 49 (52.1)</w:t>
            </w:r>
          </w:p>
          <w:p w14:paraId="77F0D1EF" w14:textId="510DDFDB" w:rsidR="00F4712C" w:rsidRPr="00424692" w:rsidRDefault="001E714D" w:rsidP="001E714D">
            <w:pPr>
              <w:ind w:left="2" w:hanging="2"/>
              <w:rPr>
                <w:bCs/>
                <w:sz w:val="24"/>
                <w:szCs w:val="24"/>
              </w:rPr>
            </w:pPr>
            <w:r w:rsidRPr="00424692">
              <w:rPr>
                <w:bCs/>
                <w:sz w:val="24"/>
                <w:szCs w:val="24"/>
              </w:rPr>
              <w:t xml:space="preserve">2. </w:t>
            </w:r>
            <w:r w:rsidR="00F4712C" w:rsidRPr="00424692">
              <w:rPr>
                <w:bCs/>
                <w:sz w:val="24"/>
                <w:szCs w:val="24"/>
              </w:rPr>
              <w:t>≥2,000: 44 (46.8)</w:t>
            </w:r>
          </w:p>
          <w:p w14:paraId="6CB2BEA0" w14:textId="7BB2ABD9" w:rsidR="00F4712C" w:rsidRPr="00424692" w:rsidRDefault="001E714D" w:rsidP="001E714D">
            <w:pPr>
              <w:ind w:left="2" w:hanging="2"/>
              <w:rPr>
                <w:bCs/>
                <w:sz w:val="24"/>
                <w:szCs w:val="24"/>
              </w:rPr>
            </w:pPr>
            <w:r w:rsidRPr="00424692">
              <w:rPr>
                <w:bCs/>
                <w:sz w:val="24"/>
                <w:szCs w:val="24"/>
              </w:rPr>
              <w:t xml:space="preserve">3. </w:t>
            </w:r>
            <w:r w:rsidR="00F4712C" w:rsidRPr="00424692">
              <w:rPr>
                <w:bCs/>
                <w:sz w:val="24"/>
                <w:szCs w:val="24"/>
              </w:rPr>
              <w:t>Missing: 1 (1.1)</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2047E342" w14:textId="625B2E39" w:rsidR="00F4712C" w:rsidRPr="00424692" w:rsidRDefault="001E714D" w:rsidP="00F4712C">
            <w:pPr>
              <w:ind w:left="2" w:hanging="2"/>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00E61A72" w14:textId="77777777" w:rsidR="00F4712C" w:rsidRPr="00424692" w:rsidRDefault="00F4712C" w:rsidP="00F4712C">
            <w:pPr>
              <w:ind w:left="2" w:hanging="2"/>
              <w:jc w:val="center"/>
              <w:rPr>
                <w:bCs/>
                <w:sz w:val="24"/>
                <w:szCs w:val="24"/>
              </w:rPr>
            </w:pPr>
            <w:r w:rsidRPr="00424692">
              <w:rPr>
                <w:bCs/>
                <w:sz w:val="24"/>
                <w:szCs w:val="24"/>
              </w:rPr>
              <w:t>Advanced epithelial ovarian cancer</w:t>
            </w:r>
          </w:p>
        </w:tc>
      </w:tr>
      <w:tr w:rsidR="001E714D" w:rsidRPr="00424692" w14:paraId="37782233" w14:textId="77777777" w:rsidTr="001E714D">
        <w:trPr>
          <w:trHeight w:val="20"/>
        </w:trPr>
        <w:tc>
          <w:tcPr>
            <w:tcW w:w="897" w:type="pct"/>
            <w:tcBorders>
              <w:bottom w:val="single" w:sz="8" w:space="0" w:color="000000"/>
              <w:right w:val="single" w:sz="8" w:space="0" w:color="000000"/>
            </w:tcBorders>
            <w:vAlign w:val="center"/>
          </w:tcPr>
          <w:p w14:paraId="5BAFB875" w14:textId="6D77B276" w:rsidR="00F4712C" w:rsidRPr="00424692" w:rsidRDefault="00F4712C" w:rsidP="00F4712C">
            <w:pPr>
              <w:ind w:left="2" w:hanging="2"/>
              <w:contextualSpacing/>
              <w:rPr>
                <w:bCs/>
                <w:color w:val="212121"/>
                <w:sz w:val="24"/>
                <w:szCs w:val="24"/>
              </w:rPr>
            </w:pPr>
            <w:r w:rsidRPr="00424692">
              <w:rPr>
                <w:bCs/>
                <w:sz w:val="24"/>
                <w:szCs w:val="24"/>
              </w:rPr>
              <w:t>John-Olabode,</w:t>
            </w:r>
            <w:r w:rsidR="00095EFE">
              <w:rPr>
                <w:bCs/>
                <w:sz w:val="24"/>
                <w:szCs w:val="24"/>
                <w:vertAlign w:val="superscript"/>
              </w:rPr>
              <w:t>17</w:t>
            </w:r>
            <w:r w:rsidRPr="00424692">
              <w:rPr>
                <w:bCs/>
                <w:sz w:val="24"/>
                <w:szCs w:val="24"/>
              </w:rPr>
              <w:t xml:space="preserve"> 2021</w:t>
            </w:r>
          </w:p>
        </w:tc>
        <w:tc>
          <w:tcPr>
            <w:tcW w:w="606" w:type="pct"/>
            <w:tcBorders>
              <w:bottom w:val="single" w:sz="8" w:space="0" w:color="000000"/>
            </w:tcBorders>
            <w:vAlign w:val="center"/>
          </w:tcPr>
          <w:p w14:paraId="7F444FCE" w14:textId="77777777" w:rsidR="00F4712C" w:rsidRPr="00424692" w:rsidRDefault="00F4712C" w:rsidP="00F4712C">
            <w:pPr>
              <w:ind w:left="2" w:hanging="2"/>
              <w:contextualSpacing/>
              <w:jc w:val="center"/>
              <w:rPr>
                <w:bCs/>
                <w:color w:val="212121"/>
                <w:sz w:val="24"/>
                <w:szCs w:val="24"/>
              </w:rPr>
            </w:pPr>
            <w:r w:rsidRPr="00424692">
              <w:rPr>
                <w:bCs/>
                <w:sz w:val="24"/>
                <w:szCs w:val="24"/>
              </w:rPr>
              <w:t>Prior to primary treatment</w:t>
            </w:r>
          </w:p>
        </w:tc>
        <w:tc>
          <w:tcPr>
            <w:tcW w:w="377" w:type="pct"/>
            <w:tcBorders>
              <w:bottom w:val="single" w:sz="8" w:space="0" w:color="000000"/>
              <w:right w:val="single" w:sz="8" w:space="0" w:color="000000"/>
            </w:tcBorders>
            <w:tcMar>
              <w:top w:w="0" w:type="dxa"/>
              <w:left w:w="100" w:type="dxa"/>
              <w:bottom w:w="0" w:type="dxa"/>
              <w:right w:w="100" w:type="dxa"/>
            </w:tcMar>
            <w:vAlign w:val="center"/>
          </w:tcPr>
          <w:p w14:paraId="7AB69E8C" w14:textId="5A3CB2CD"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OS: 45 (48.4)</w:t>
            </w:r>
          </w:p>
          <w:p w14:paraId="4AED65DB" w14:textId="40D83688"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PFS: 38 (40.8)</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10696C49" w14:textId="06AFBF81"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tcMar>
              <w:top w:w="100" w:type="dxa"/>
              <w:left w:w="100" w:type="dxa"/>
              <w:bottom w:w="100" w:type="dxa"/>
              <w:right w:w="100" w:type="dxa"/>
            </w:tcMar>
            <w:vAlign w:val="center"/>
          </w:tcPr>
          <w:p w14:paraId="376BEB4F" w14:textId="1B98DBFF"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bottom w:val="single" w:sz="8" w:space="0" w:color="000000"/>
              <w:right w:val="single" w:sz="8" w:space="0" w:color="000000"/>
            </w:tcBorders>
            <w:tcMar>
              <w:top w:w="100" w:type="dxa"/>
              <w:left w:w="100" w:type="dxa"/>
              <w:bottom w:w="100" w:type="dxa"/>
              <w:right w:w="100" w:type="dxa"/>
            </w:tcMar>
            <w:vAlign w:val="center"/>
          </w:tcPr>
          <w:p w14:paraId="422F17C8" w14:textId="7E0BB8A9"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bottom w:val="single" w:sz="8" w:space="0" w:color="000000"/>
              <w:right w:val="single" w:sz="8" w:space="0" w:color="000000"/>
            </w:tcBorders>
            <w:tcMar>
              <w:top w:w="100" w:type="dxa"/>
              <w:left w:w="100" w:type="dxa"/>
              <w:bottom w:w="100" w:type="dxa"/>
              <w:right w:w="100" w:type="dxa"/>
            </w:tcMar>
            <w:vAlign w:val="center"/>
          </w:tcPr>
          <w:p w14:paraId="23B02495" w14:textId="3248E2B0" w:rsidR="00F4712C" w:rsidRPr="00424692" w:rsidRDefault="001E714D" w:rsidP="00F4712C">
            <w:pPr>
              <w:ind w:left="2" w:hanging="2"/>
              <w:contextualSpacing/>
              <w:jc w:val="center"/>
              <w:rPr>
                <w:bCs/>
                <w:sz w:val="24"/>
                <w:szCs w:val="24"/>
              </w:rPr>
            </w:pPr>
            <w:r w:rsidRPr="00424692">
              <w:rPr>
                <w:bCs/>
                <w:sz w:val="24"/>
                <w:szCs w:val="24"/>
              </w:rPr>
              <w:t>NA</w:t>
            </w:r>
          </w:p>
        </w:tc>
      </w:tr>
      <w:tr w:rsidR="001E714D" w:rsidRPr="00424692" w14:paraId="65B3C6FB" w14:textId="77777777" w:rsidTr="001E714D">
        <w:trPr>
          <w:trHeight w:val="291"/>
        </w:trPr>
        <w:tc>
          <w:tcPr>
            <w:tcW w:w="897" w:type="pct"/>
            <w:tcBorders>
              <w:right w:val="single" w:sz="8" w:space="0" w:color="000000"/>
            </w:tcBorders>
            <w:vAlign w:val="center"/>
          </w:tcPr>
          <w:p w14:paraId="16C4CF9A" w14:textId="313FB196" w:rsidR="00F4712C" w:rsidRPr="00424692" w:rsidRDefault="00F4712C" w:rsidP="00F4712C">
            <w:pPr>
              <w:ind w:left="2" w:hanging="2"/>
              <w:contextualSpacing/>
              <w:rPr>
                <w:bCs/>
                <w:sz w:val="24"/>
                <w:szCs w:val="24"/>
              </w:rPr>
            </w:pPr>
            <w:r w:rsidRPr="00424692">
              <w:rPr>
                <w:bCs/>
                <w:sz w:val="24"/>
                <w:szCs w:val="24"/>
              </w:rPr>
              <w:t>Williams,</w:t>
            </w:r>
            <w:r w:rsidR="00095EFE">
              <w:rPr>
                <w:bCs/>
                <w:sz w:val="24"/>
                <w:szCs w:val="24"/>
                <w:vertAlign w:val="superscript"/>
              </w:rPr>
              <w:t>18</w:t>
            </w:r>
            <w:r w:rsidRPr="00424692">
              <w:rPr>
                <w:bCs/>
                <w:sz w:val="24"/>
                <w:szCs w:val="24"/>
              </w:rPr>
              <w:t xml:space="preserve"> 2014</w:t>
            </w:r>
          </w:p>
        </w:tc>
        <w:tc>
          <w:tcPr>
            <w:tcW w:w="606" w:type="pct"/>
            <w:vAlign w:val="center"/>
          </w:tcPr>
          <w:p w14:paraId="175D0EF4" w14:textId="77777777" w:rsidR="00F4712C" w:rsidRPr="00424692" w:rsidRDefault="00F4712C" w:rsidP="00F4712C">
            <w:pPr>
              <w:ind w:left="2" w:hanging="2"/>
              <w:contextualSpacing/>
              <w:jc w:val="center"/>
              <w:rPr>
                <w:bCs/>
                <w:sz w:val="24"/>
                <w:szCs w:val="24"/>
              </w:rPr>
            </w:pPr>
            <w:r w:rsidRPr="00424692">
              <w:rPr>
                <w:bCs/>
                <w:sz w:val="24"/>
                <w:szCs w:val="24"/>
              </w:rPr>
              <w:t>Prior to primary treatment (surgery for pelvic mass and after diagnosis was made)</w:t>
            </w:r>
          </w:p>
        </w:tc>
        <w:tc>
          <w:tcPr>
            <w:tcW w:w="377" w:type="pct"/>
            <w:tcBorders>
              <w:right w:val="single" w:sz="8" w:space="0" w:color="000000"/>
            </w:tcBorders>
            <w:shd w:val="clear" w:color="auto" w:fill="auto"/>
            <w:tcMar>
              <w:top w:w="0" w:type="dxa"/>
              <w:left w:w="100" w:type="dxa"/>
              <w:bottom w:w="0" w:type="dxa"/>
              <w:right w:w="100" w:type="dxa"/>
            </w:tcMar>
            <w:vAlign w:val="center"/>
          </w:tcPr>
          <w:p w14:paraId="68136F78" w14:textId="0A2FA846"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4CA83DB6" w14:textId="68C24D8D"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6D545744" w14:textId="5C4C2D0F"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57A4B7F9" w14:textId="230A5248"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6532B76D" w14:textId="3F4669A5" w:rsidR="00F4712C" w:rsidRPr="00424692" w:rsidRDefault="001E714D" w:rsidP="00F4712C">
            <w:pPr>
              <w:ind w:left="2" w:hanging="2"/>
              <w:contextualSpacing/>
              <w:jc w:val="center"/>
              <w:rPr>
                <w:bCs/>
                <w:sz w:val="24"/>
                <w:szCs w:val="24"/>
              </w:rPr>
            </w:pPr>
            <w:r w:rsidRPr="00424692">
              <w:rPr>
                <w:bCs/>
                <w:sz w:val="24"/>
                <w:szCs w:val="24"/>
              </w:rPr>
              <w:t>NA</w:t>
            </w:r>
          </w:p>
        </w:tc>
      </w:tr>
      <w:tr w:rsidR="001E714D" w:rsidRPr="00424692" w14:paraId="17EC41AA" w14:textId="77777777" w:rsidTr="001E714D">
        <w:trPr>
          <w:trHeight w:val="291"/>
        </w:trPr>
        <w:tc>
          <w:tcPr>
            <w:tcW w:w="897" w:type="pct"/>
            <w:tcBorders>
              <w:right w:val="single" w:sz="8" w:space="0" w:color="000000"/>
            </w:tcBorders>
            <w:vAlign w:val="center"/>
          </w:tcPr>
          <w:p w14:paraId="7C271845" w14:textId="0903C77A" w:rsidR="001E714D" w:rsidRPr="00424692" w:rsidRDefault="001E714D" w:rsidP="00F4712C">
            <w:pPr>
              <w:ind w:left="2" w:hanging="2"/>
              <w:contextualSpacing/>
              <w:rPr>
                <w:bCs/>
                <w:sz w:val="24"/>
                <w:szCs w:val="24"/>
              </w:rPr>
            </w:pPr>
            <w:r w:rsidRPr="00424692">
              <w:rPr>
                <w:bCs/>
                <w:sz w:val="24"/>
                <w:szCs w:val="24"/>
              </w:rPr>
              <w:lastRenderedPageBreak/>
              <w:t>Fibrinogen</w:t>
            </w:r>
          </w:p>
        </w:tc>
        <w:tc>
          <w:tcPr>
            <w:tcW w:w="606" w:type="pct"/>
            <w:vAlign w:val="center"/>
          </w:tcPr>
          <w:p w14:paraId="02DAFE90" w14:textId="77777777" w:rsidR="001E714D" w:rsidRPr="00424692" w:rsidRDefault="001E714D" w:rsidP="00F4712C">
            <w:pPr>
              <w:ind w:left="2" w:hanging="2"/>
              <w:contextualSpacing/>
              <w:jc w:val="center"/>
              <w:rPr>
                <w:bCs/>
                <w:sz w:val="24"/>
                <w:szCs w:val="24"/>
              </w:rPr>
            </w:pPr>
          </w:p>
        </w:tc>
        <w:tc>
          <w:tcPr>
            <w:tcW w:w="377" w:type="pct"/>
            <w:tcBorders>
              <w:right w:val="single" w:sz="8" w:space="0" w:color="000000"/>
            </w:tcBorders>
            <w:shd w:val="clear" w:color="auto" w:fill="auto"/>
            <w:tcMar>
              <w:top w:w="0" w:type="dxa"/>
              <w:left w:w="100" w:type="dxa"/>
              <w:bottom w:w="0" w:type="dxa"/>
              <w:right w:w="100" w:type="dxa"/>
            </w:tcMar>
            <w:vAlign w:val="center"/>
          </w:tcPr>
          <w:p w14:paraId="26649894" w14:textId="77777777" w:rsidR="001E714D" w:rsidRPr="00424692" w:rsidRDefault="001E714D" w:rsidP="00F4712C">
            <w:pPr>
              <w:ind w:left="2" w:hanging="2"/>
              <w:contextualSpacing/>
              <w:jc w:val="center"/>
              <w:rPr>
                <w:bCs/>
                <w:sz w:val="24"/>
                <w:szCs w:val="24"/>
              </w:rPr>
            </w:pPr>
          </w:p>
        </w:tc>
        <w:tc>
          <w:tcPr>
            <w:tcW w:w="867" w:type="pct"/>
            <w:tcBorders>
              <w:right w:val="single" w:sz="8" w:space="0" w:color="000000"/>
            </w:tcBorders>
            <w:shd w:val="clear" w:color="auto" w:fill="auto"/>
            <w:tcMar>
              <w:top w:w="100" w:type="dxa"/>
              <w:left w:w="100" w:type="dxa"/>
              <w:bottom w:w="100" w:type="dxa"/>
              <w:right w:w="100" w:type="dxa"/>
            </w:tcMar>
            <w:vAlign w:val="center"/>
          </w:tcPr>
          <w:p w14:paraId="7C3E3D6E" w14:textId="77777777" w:rsidR="001E714D" w:rsidRPr="00424692" w:rsidRDefault="001E714D" w:rsidP="00F4712C">
            <w:pPr>
              <w:ind w:left="2" w:hanging="2"/>
              <w:contextualSpacing/>
              <w:jc w:val="center"/>
              <w:rPr>
                <w:bCs/>
                <w:sz w:val="24"/>
                <w:szCs w:val="24"/>
              </w:rPr>
            </w:pPr>
          </w:p>
        </w:tc>
        <w:tc>
          <w:tcPr>
            <w:tcW w:w="867" w:type="pct"/>
            <w:tcBorders>
              <w:right w:val="single" w:sz="8" w:space="0" w:color="000000"/>
            </w:tcBorders>
            <w:shd w:val="clear" w:color="auto" w:fill="auto"/>
            <w:tcMar>
              <w:top w:w="100" w:type="dxa"/>
              <w:left w:w="100" w:type="dxa"/>
              <w:bottom w:w="100" w:type="dxa"/>
              <w:right w:w="100" w:type="dxa"/>
            </w:tcMar>
            <w:vAlign w:val="center"/>
          </w:tcPr>
          <w:p w14:paraId="7AC7A9BB" w14:textId="77777777" w:rsidR="001E714D" w:rsidRPr="00424692" w:rsidRDefault="001E714D" w:rsidP="00F4712C">
            <w:pPr>
              <w:ind w:left="2" w:hanging="2"/>
              <w:contextualSpacing/>
              <w:jc w:val="center"/>
              <w:rPr>
                <w:bCs/>
                <w:sz w:val="24"/>
                <w:szCs w:val="24"/>
              </w:rPr>
            </w:pPr>
          </w:p>
        </w:tc>
        <w:tc>
          <w:tcPr>
            <w:tcW w:w="534" w:type="pct"/>
            <w:tcBorders>
              <w:right w:val="single" w:sz="8" w:space="0" w:color="000000"/>
            </w:tcBorders>
            <w:shd w:val="clear" w:color="auto" w:fill="auto"/>
            <w:tcMar>
              <w:top w:w="100" w:type="dxa"/>
              <w:left w:w="100" w:type="dxa"/>
              <w:bottom w:w="100" w:type="dxa"/>
              <w:right w:w="100" w:type="dxa"/>
            </w:tcMar>
            <w:vAlign w:val="center"/>
          </w:tcPr>
          <w:p w14:paraId="58C7660A" w14:textId="77777777" w:rsidR="001E714D" w:rsidRPr="00424692" w:rsidRDefault="001E714D" w:rsidP="00F4712C">
            <w:pPr>
              <w:ind w:left="2" w:hanging="2"/>
              <w:contextualSpacing/>
              <w:jc w:val="center"/>
              <w:rPr>
                <w:bCs/>
                <w:sz w:val="24"/>
                <w:szCs w:val="24"/>
              </w:rPr>
            </w:pPr>
          </w:p>
        </w:tc>
        <w:tc>
          <w:tcPr>
            <w:tcW w:w="852" w:type="pct"/>
            <w:tcBorders>
              <w:right w:val="single" w:sz="8" w:space="0" w:color="000000"/>
            </w:tcBorders>
            <w:shd w:val="clear" w:color="auto" w:fill="auto"/>
            <w:tcMar>
              <w:top w:w="100" w:type="dxa"/>
              <w:left w:w="100" w:type="dxa"/>
              <w:bottom w:w="100" w:type="dxa"/>
              <w:right w:w="100" w:type="dxa"/>
            </w:tcMar>
            <w:vAlign w:val="center"/>
          </w:tcPr>
          <w:p w14:paraId="74A27841" w14:textId="77777777" w:rsidR="001E714D" w:rsidRPr="00424692" w:rsidRDefault="001E714D" w:rsidP="00F4712C">
            <w:pPr>
              <w:ind w:left="2" w:hanging="2"/>
              <w:contextualSpacing/>
              <w:jc w:val="center"/>
              <w:rPr>
                <w:bCs/>
                <w:sz w:val="24"/>
                <w:szCs w:val="24"/>
              </w:rPr>
            </w:pPr>
          </w:p>
        </w:tc>
      </w:tr>
      <w:tr w:rsidR="001E714D" w:rsidRPr="00424692" w14:paraId="087D85C6" w14:textId="77777777" w:rsidTr="001E714D">
        <w:trPr>
          <w:trHeight w:val="291"/>
        </w:trPr>
        <w:tc>
          <w:tcPr>
            <w:tcW w:w="897" w:type="pct"/>
            <w:tcBorders>
              <w:right w:val="single" w:sz="8" w:space="0" w:color="000000"/>
            </w:tcBorders>
            <w:vAlign w:val="center"/>
          </w:tcPr>
          <w:p w14:paraId="52BA6D0A" w14:textId="7FAAAF51" w:rsidR="00F4712C" w:rsidRPr="00424692" w:rsidRDefault="00F4712C" w:rsidP="00F4712C">
            <w:pPr>
              <w:ind w:left="2" w:hanging="2"/>
              <w:contextualSpacing/>
              <w:rPr>
                <w:bCs/>
                <w:sz w:val="24"/>
                <w:szCs w:val="24"/>
              </w:rPr>
            </w:pPr>
            <w:r w:rsidRPr="00424692">
              <w:rPr>
                <w:bCs/>
                <w:sz w:val="24"/>
                <w:szCs w:val="24"/>
              </w:rPr>
              <w:t>Qiu,</w:t>
            </w:r>
            <w:r w:rsidR="00095EFE">
              <w:rPr>
                <w:bCs/>
                <w:sz w:val="24"/>
                <w:szCs w:val="24"/>
                <w:vertAlign w:val="superscript"/>
              </w:rPr>
              <w:t>19</w:t>
            </w:r>
            <w:r w:rsidRPr="00424692">
              <w:rPr>
                <w:bCs/>
                <w:sz w:val="24"/>
                <w:szCs w:val="24"/>
              </w:rPr>
              <w:t xml:space="preserve"> 2012</w:t>
            </w:r>
          </w:p>
        </w:tc>
        <w:tc>
          <w:tcPr>
            <w:tcW w:w="606" w:type="pct"/>
            <w:vAlign w:val="center"/>
          </w:tcPr>
          <w:p w14:paraId="54F60BB9"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right w:val="single" w:sz="8" w:space="0" w:color="000000"/>
            </w:tcBorders>
            <w:shd w:val="clear" w:color="auto" w:fill="auto"/>
            <w:tcMar>
              <w:top w:w="0" w:type="dxa"/>
              <w:left w:w="100" w:type="dxa"/>
              <w:bottom w:w="0" w:type="dxa"/>
              <w:right w:w="100" w:type="dxa"/>
            </w:tcMar>
            <w:vAlign w:val="center"/>
          </w:tcPr>
          <w:p w14:paraId="7E2C920B" w14:textId="77777777" w:rsidR="00F4712C" w:rsidRPr="00424692" w:rsidRDefault="00F4712C" w:rsidP="00F4712C">
            <w:pPr>
              <w:ind w:left="2" w:hanging="2"/>
              <w:contextualSpacing/>
              <w:jc w:val="center"/>
              <w:rPr>
                <w:bCs/>
                <w:color w:val="000000"/>
                <w:sz w:val="24"/>
                <w:szCs w:val="24"/>
              </w:rPr>
            </w:pPr>
            <w:r w:rsidRPr="00424692">
              <w:rPr>
                <w:bCs/>
                <w:color w:val="000000"/>
                <w:sz w:val="24"/>
                <w:szCs w:val="24"/>
              </w:rPr>
              <w:t>49 (36)</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0EEBA809" w14:textId="24841738"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&lt;50: 23 (47)</w:t>
            </w:r>
          </w:p>
          <w:p w14:paraId="019A1473" w14:textId="71C050DC"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≥50: 26 (53)</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0F0F3594" w14:textId="236ED46F"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≤500: 24 (49)</w:t>
            </w:r>
          </w:p>
          <w:p w14:paraId="55873247" w14:textId="78FB2335"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&gt;500: 25 (51)</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3EA0A605" w14:textId="668AA4FE"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I: 6 (12.2)</w:t>
            </w:r>
          </w:p>
          <w:p w14:paraId="340DF644" w14:textId="5B4775EF"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II: 4 (8.1)</w:t>
            </w:r>
          </w:p>
          <w:p w14:paraId="16AD707D" w14:textId="333312B6" w:rsidR="00F4712C" w:rsidRPr="00424692" w:rsidRDefault="001E714D" w:rsidP="001E714D">
            <w:pPr>
              <w:ind w:left="2" w:hanging="2"/>
              <w:contextualSpacing/>
              <w:rPr>
                <w:bCs/>
                <w:sz w:val="24"/>
                <w:szCs w:val="24"/>
              </w:rPr>
            </w:pPr>
            <w:r w:rsidRPr="00424692">
              <w:rPr>
                <w:bCs/>
                <w:sz w:val="24"/>
                <w:szCs w:val="24"/>
              </w:rPr>
              <w:t xml:space="preserve">3. </w:t>
            </w:r>
            <w:r w:rsidR="00F4712C" w:rsidRPr="00424692">
              <w:rPr>
                <w:bCs/>
                <w:sz w:val="24"/>
                <w:szCs w:val="24"/>
              </w:rPr>
              <w:t>III: 36 (73.5)</w:t>
            </w:r>
          </w:p>
          <w:p w14:paraId="16C12076" w14:textId="56C26AF9" w:rsidR="00F4712C" w:rsidRPr="00424692" w:rsidRDefault="001E714D" w:rsidP="001E714D">
            <w:pPr>
              <w:ind w:left="2" w:hanging="2"/>
              <w:contextualSpacing/>
              <w:rPr>
                <w:bCs/>
                <w:sz w:val="24"/>
                <w:szCs w:val="24"/>
              </w:rPr>
            </w:pPr>
            <w:r w:rsidRPr="00424692">
              <w:rPr>
                <w:bCs/>
                <w:sz w:val="24"/>
                <w:szCs w:val="24"/>
              </w:rPr>
              <w:t xml:space="preserve">4. </w:t>
            </w:r>
            <w:r w:rsidR="00F4712C" w:rsidRPr="00424692">
              <w:rPr>
                <w:bCs/>
                <w:sz w:val="24"/>
                <w:szCs w:val="24"/>
              </w:rPr>
              <w:t>IV: 3 (6.1)</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2F2FA094" w14:textId="77777777" w:rsidR="001E714D" w:rsidRPr="00424692" w:rsidRDefault="001E714D" w:rsidP="001E714D">
            <w:pPr>
              <w:widowControl/>
              <w:autoSpaceDE/>
              <w:autoSpaceDN/>
              <w:contextualSpacing/>
              <w:rPr>
                <w:bCs/>
                <w:sz w:val="24"/>
                <w:szCs w:val="24"/>
              </w:rPr>
            </w:pPr>
            <w:r w:rsidRPr="00424692">
              <w:rPr>
                <w:bCs/>
                <w:sz w:val="24"/>
                <w:szCs w:val="24"/>
              </w:rPr>
              <w:t xml:space="preserve">1. </w:t>
            </w:r>
            <w:r w:rsidR="00F4712C" w:rsidRPr="00424692">
              <w:rPr>
                <w:bCs/>
                <w:sz w:val="24"/>
                <w:szCs w:val="24"/>
              </w:rPr>
              <w:t>Serous: 29 (59.2)</w:t>
            </w:r>
          </w:p>
          <w:p w14:paraId="0F72536E" w14:textId="77777777" w:rsidR="001E714D" w:rsidRPr="00424692" w:rsidRDefault="001E714D" w:rsidP="001E714D">
            <w:pPr>
              <w:widowControl/>
              <w:autoSpaceDE/>
              <w:autoSpaceDN/>
              <w:contextualSpacing/>
              <w:rPr>
                <w:bCs/>
                <w:sz w:val="24"/>
                <w:szCs w:val="24"/>
              </w:rPr>
            </w:pPr>
            <w:r w:rsidRPr="00424692">
              <w:rPr>
                <w:bCs/>
                <w:sz w:val="24"/>
                <w:szCs w:val="24"/>
              </w:rPr>
              <w:t xml:space="preserve">2. </w:t>
            </w:r>
            <w:r w:rsidR="00F4712C" w:rsidRPr="00424692">
              <w:rPr>
                <w:bCs/>
                <w:sz w:val="24"/>
                <w:szCs w:val="24"/>
              </w:rPr>
              <w:t>Mucous: 2 (4.1)</w:t>
            </w:r>
          </w:p>
          <w:p w14:paraId="066FC24C" w14:textId="49AC5632" w:rsidR="00F4712C" w:rsidRPr="00424692" w:rsidRDefault="001E714D" w:rsidP="001E714D">
            <w:pPr>
              <w:widowControl/>
              <w:autoSpaceDE/>
              <w:autoSpaceDN/>
              <w:contextualSpacing/>
              <w:rPr>
                <w:bCs/>
                <w:sz w:val="24"/>
                <w:szCs w:val="24"/>
              </w:rPr>
            </w:pPr>
            <w:r w:rsidRPr="00424692">
              <w:rPr>
                <w:bCs/>
                <w:sz w:val="24"/>
                <w:szCs w:val="24"/>
              </w:rPr>
              <w:t xml:space="preserve">3. </w:t>
            </w:r>
            <w:r w:rsidR="00F4712C" w:rsidRPr="00424692">
              <w:rPr>
                <w:bCs/>
                <w:sz w:val="24"/>
                <w:szCs w:val="24"/>
              </w:rPr>
              <w:t>Other: 18 (36.7)</w:t>
            </w:r>
          </w:p>
        </w:tc>
      </w:tr>
      <w:tr w:rsidR="001E714D" w:rsidRPr="00424692" w14:paraId="1E33E53C" w14:textId="77777777" w:rsidTr="001E714D">
        <w:trPr>
          <w:trHeight w:val="291"/>
        </w:trPr>
        <w:tc>
          <w:tcPr>
            <w:tcW w:w="897" w:type="pct"/>
            <w:tcBorders>
              <w:right w:val="single" w:sz="8" w:space="0" w:color="000000"/>
            </w:tcBorders>
            <w:vAlign w:val="center"/>
          </w:tcPr>
          <w:p w14:paraId="5281BE31" w14:textId="3D273E77" w:rsidR="00F4712C" w:rsidRPr="00424692" w:rsidRDefault="00F4712C" w:rsidP="00F4712C">
            <w:pPr>
              <w:ind w:left="2" w:hanging="2"/>
              <w:contextualSpacing/>
              <w:rPr>
                <w:bCs/>
                <w:color w:val="000000" w:themeColor="text1"/>
                <w:sz w:val="24"/>
                <w:szCs w:val="24"/>
              </w:rPr>
            </w:pPr>
            <w:r w:rsidRPr="00424692">
              <w:rPr>
                <w:bCs/>
                <w:color w:val="000000" w:themeColor="text1"/>
                <w:sz w:val="24"/>
                <w:szCs w:val="24"/>
              </w:rPr>
              <w:t>Li,</w:t>
            </w:r>
            <w:r w:rsidR="00095EFE">
              <w:rPr>
                <w:bCs/>
                <w:color w:val="000000" w:themeColor="text1"/>
                <w:sz w:val="24"/>
                <w:szCs w:val="24"/>
                <w:vertAlign w:val="superscript"/>
              </w:rPr>
              <w:t>20</w:t>
            </w:r>
            <w:r w:rsidRPr="00424692">
              <w:rPr>
                <w:bCs/>
                <w:color w:val="000000" w:themeColor="text1"/>
                <w:sz w:val="24"/>
                <w:szCs w:val="24"/>
              </w:rPr>
              <w:t xml:space="preserve"> 2017</w:t>
            </w:r>
          </w:p>
        </w:tc>
        <w:tc>
          <w:tcPr>
            <w:tcW w:w="606" w:type="pct"/>
            <w:vAlign w:val="center"/>
          </w:tcPr>
          <w:p w14:paraId="566A3FA8" w14:textId="77777777" w:rsidR="00F4712C" w:rsidRPr="00424692" w:rsidRDefault="00F4712C" w:rsidP="00F4712C">
            <w:pPr>
              <w:ind w:left="2" w:hanging="2"/>
              <w:contextualSpacing/>
              <w:jc w:val="center"/>
              <w:rPr>
                <w:bCs/>
                <w:color w:val="000000" w:themeColor="text1"/>
                <w:sz w:val="24"/>
                <w:szCs w:val="24"/>
              </w:rPr>
            </w:pPr>
            <w:r w:rsidRPr="00424692">
              <w:rPr>
                <w:bCs/>
                <w:color w:val="000000" w:themeColor="text1"/>
                <w:sz w:val="24"/>
                <w:szCs w:val="24"/>
              </w:rPr>
              <w:t>Prior to primary surgery</w:t>
            </w:r>
          </w:p>
        </w:tc>
        <w:tc>
          <w:tcPr>
            <w:tcW w:w="377" w:type="pct"/>
            <w:tcBorders>
              <w:right w:val="single" w:sz="8" w:space="0" w:color="000000"/>
            </w:tcBorders>
            <w:shd w:val="clear" w:color="auto" w:fill="auto"/>
            <w:tcMar>
              <w:top w:w="0" w:type="dxa"/>
              <w:left w:w="100" w:type="dxa"/>
              <w:bottom w:w="0" w:type="dxa"/>
              <w:right w:w="100" w:type="dxa"/>
            </w:tcMar>
            <w:vAlign w:val="center"/>
          </w:tcPr>
          <w:p w14:paraId="4518F26A" w14:textId="77777777" w:rsidR="00F4712C" w:rsidRPr="00424692" w:rsidRDefault="00F4712C" w:rsidP="00F4712C">
            <w:pPr>
              <w:ind w:left="2" w:hanging="2"/>
              <w:contextualSpacing/>
              <w:jc w:val="center"/>
              <w:rPr>
                <w:bCs/>
                <w:color w:val="000000" w:themeColor="text1"/>
                <w:sz w:val="24"/>
                <w:szCs w:val="24"/>
              </w:rPr>
            </w:pPr>
            <w:r w:rsidRPr="00424692">
              <w:rPr>
                <w:bCs/>
                <w:color w:val="000000" w:themeColor="text1"/>
                <w:sz w:val="24"/>
                <w:szCs w:val="24"/>
              </w:rPr>
              <w:t>82 (44.1)</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691892F0" w14:textId="078220A1" w:rsidR="00F4712C" w:rsidRPr="00424692" w:rsidRDefault="00F4712C" w:rsidP="00F4712C">
            <w:pPr>
              <w:ind w:left="2" w:hanging="2"/>
              <w:contextualSpacing/>
              <w:jc w:val="center"/>
              <w:rPr>
                <w:bCs/>
                <w:color w:val="000000" w:themeColor="text1"/>
                <w:sz w:val="24"/>
                <w:szCs w:val="24"/>
              </w:rPr>
            </w:pPr>
            <w:r w:rsidRPr="00424692">
              <w:rPr>
                <w:bCs/>
                <w:color w:val="000000" w:themeColor="text1"/>
                <w:sz w:val="24"/>
                <w:szCs w:val="24"/>
              </w:rPr>
              <w:t>60.0 (52.1</w:t>
            </w:r>
            <w:r w:rsidR="001E714D" w:rsidRPr="00424692">
              <w:rPr>
                <w:bCs/>
                <w:color w:val="000000" w:themeColor="text1"/>
                <w:sz w:val="24"/>
                <w:szCs w:val="24"/>
              </w:rPr>
              <w:t>–</w:t>
            </w:r>
            <w:r w:rsidRPr="00424692">
              <w:rPr>
                <w:bCs/>
                <w:color w:val="000000" w:themeColor="text1"/>
                <w:sz w:val="24"/>
                <w:szCs w:val="24"/>
              </w:rPr>
              <w:t>67.3)</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6EC9F77F" w14:textId="262A6DD2" w:rsidR="00F4712C" w:rsidRPr="00424692" w:rsidRDefault="00F4712C" w:rsidP="00F4712C">
            <w:pPr>
              <w:ind w:left="2" w:hanging="2"/>
              <w:contextualSpacing/>
              <w:jc w:val="center"/>
              <w:rPr>
                <w:bCs/>
                <w:color w:val="000000" w:themeColor="text1"/>
                <w:sz w:val="24"/>
                <w:szCs w:val="24"/>
              </w:rPr>
            </w:pPr>
            <w:r w:rsidRPr="00424692">
              <w:rPr>
                <w:bCs/>
                <w:color w:val="000000" w:themeColor="text1"/>
                <w:sz w:val="24"/>
                <w:szCs w:val="24"/>
              </w:rPr>
              <w:t>600 (20.6.2–1</w:t>
            </w:r>
            <w:r w:rsidR="001E714D" w:rsidRPr="00424692">
              <w:rPr>
                <w:bCs/>
                <w:color w:val="000000" w:themeColor="text1"/>
                <w:sz w:val="24"/>
                <w:szCs w:val="24"/>
              </w:rPr>
              <w:t>,</w:t>
            </w:r>
            <w:r w:rsidRPr="00424692">
              <w:rPr>
                <w:bCs/>
                <w:color w:val="000000" w:themeColor="text1"/>
                <w:sz w:val="24"/>
                <w:szCs w:val="24"/>
              </w:rPr>
              <w:t>754.1)</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5528BC12" w14:textId="59BDC6CC" w:rsidR="00F4712C" w:rsidRPr="00424692" w:rsidRDefault="001E714D" w:rsidP="001E714D">
            <w:pPr>
              <w:ind w:left="2" w:hanging="2"/>
              <w:contextualSpacing/>
              <w:rPr>
                <w:bCs/>
                <w:color w:val="000000" w:themeColor="text1"/>
                <w:sz w:val="24"/>
                <w:szCs w:val="24"/>
              </w:rPr>
            </w:pPr>
            <w:r w:rsidRPr="00424692">
              <w:rPr>
                <w:bCs/>
                <w:color w:val="000000" w:themeColor="text1"/>
                <w:sz w:val="24"/>
                <w:szCs w:val="24"/>
              </w:rPr>
              <w:t xml:space="preserve">1. </w:t>
            </w:r>
            <w:r w:rsidR="00F4712C" w:rsidRPr="00424692">
              <w:rPr>
                <w:bCs/>
                <w:color w:val="000000" w:themeColor="text1"/>
                <w:sz w:val="24"/>
                <w:szCs w:val="24"/>
              </w:rPr>
              <w:t>I/II: 11 (13.4)</w:t>
            </w:r>
          </w:p>
          <w:p w14:paraId="16C3DEFA" w14:textId="0ADE7EB4" w:rsidR="00F4712C" w:rsidRPr="00424692" w:rsidRDefault="001E714D" w:rsidP="001E714D">
            <w:pPr>
              <w:ind w:left="2" w:hanging="2"/>
              <w:contextualSpacing/>
              <w:rPr>
                <w:bCs/>
                <w:color w:val="000000" w:themeColor="text1"/>
                <w:sz w:val="24"/>
                <w:szCs w:val="24"/>
              </w:rPr>
            </w:pPr>
            <w:r w:rsidRPr="00424692">
              <w:rPr>
                <w:bCs/>
                <w:color w:val="000000" w:themeColor="text1"/>
                <w:sz w:val="24"/>
                <w:szCs w:val="24"/>
              </w:rPr>
              <w:t xml:space="preserve">2. </w:t>
            </w:r>
            <w:r w:rsidR="00F4712C" w:rsidRPr="00424692">
              <w:rPr>
                <w:bCs/>
                <w:color w:val="000000" w:themeColor="text1"/>
                <w:sz w:val="24"/>
                <w:szCs w:val="24"/>
              </w:rPr>
              <w:t>III/IV: 71 (86.6)</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734DC787" w14:textId="7D291D4B" w:rsidR="00F4712C" w:rsidRPr="00424692" w:rsidRDefault="001E714D" w:rsidP="001E714D">
            <w:pPr>
              <w:ind w:left="2" w:hanging="2"/>
              <w:contextualSpacing/>
              <w:rPr>
                <w:bCs/>
                <w:color w:val="000000" w:themeColor="text1"/>
                <w:sz w:val="24"/>
                <w:szCs w:val="24"/>
              </w:rPr>
            </w:pPr>
            <w:r w:rsidRPr="00424692">
              <w:rPr>
                <w:bCs/>
                <w:color w:val="000000" w:themeColor="text1"/>
                <w:sz w:val="24"/>
                <w:szCs w:val="24"/>
              </w:rPr>
              <w:t xml:space="preserve">1. </w:t>
            </w:r>
            <w:r w:rsidR="00F4712C" w:rsidRPr="00424692">
              <w:rPr>
                <w:bCs/>
                <w:color w:val="000000" w:themeColor="text1"/>
                <w:sz w:val="24"/>
                <w:szCs w:val="24"/>
              </w:rPr>
              <w:t>Epithelial ovarian cancer</w:t>
            </w:r>
          </w:p>
          <w:p w14:paraId="09EC746A" w14:textId="6AE7D98A" w:rsidR="00F4712C" w:rsidRPr="00424692" w:rsidRDefault="001E714D" w:rsidP="001E714D">
            <w:pPr>
              <w:ind w:left="2" w:hanging="2"/>
              <w:contextualSpacing/>
              <w:rPr>
                <w:bCs/>
                <w:color w:val="000000" w:themeColor="text1"/>
                <w:sz w:val="24"/>
                <w:szCs w:val="24"/>
              </w:rPr>
            </w:pPr>
            <w:r w:rsidRPr="00424692">
              <w:rPr>
                <w:bCs/>
                <w:color w:val="000000" w:themeColor="text1"/>
                <w:sz w:val="24"/>
                <w:szCs w:val="24"/>
              </w:rPr>
              <w:t xml:space="preserve">2. </w:t>
            </w:r>
            <w:r w:rsidR="00F4712C" w:rsidRPr="00424692">
              <w:rPr>
                <w:bCs/>
                <w:color w:val="000000" w:themeColor="text1"/>
                <w:sz w:val="24"/>
                <w:szCs w:val="24"/>
              </w:rPr>
              <w:t>Low: 19 (23.2)</w:t>
            </w:r>
          </w:p>
          <w:p w14:paraId="4F3ACF6A" w14:textId="15A7EFBB" w:rsidR="00F4712C" w:rsidRPr="00424692" w:rsidRDefault="001E714D" w:rsidP="001E714D">
            <w:pPr>
              <w:contextualSpacing/>
              <w:rPr>
                <w:bCs/>
                <w:color w:val="000000" w:themeColor="text1"/>
                <w:sz w:val="24"/>
                <w:szCs w:val="24"/>
              </w:rPr>
            </w:pPr>
            <w:r w:rsidRPr="00424692">
              <w:rPr>
                <w:bCs/>
                <w:color w:val="000000" w:themeColor="text1"/>
                <w:sz w:val="24"/>
                <w:szCs w:val="24"/>
              </w:rPr>
              <w:t xml:space="preserve">3. </w:t>
            </w:r>
            <w:r w:rsidR="00F4712C" w:rsidRPr="00424692">
              <w:rPr>
                <w:bCs/>
                <w:color w:val="000000" w:themeColor="text1"/>
                <w:sz w:val="24"/>
                <w:szCs w:val="24"/>
              </w:rPr>
              <w:t>Middle/high: 63 (76.8)</w:t>
            </w:r>
          </w:p>
        </w:tc>
      </w:tr>
      <w:tr w:rsidR="001E714D" w:rsidRPr="00424692" w14:paraId="629B34B0" w14:textId="77777777" w:rsidTr="001E714D">
        <w:trPr>
          <w:trHeight w:val="291"/>
        </w:trPr>
        <w:tc>
          <w:tcPr>
            <w:tcW w:w="897" w:type="pct"/>
            <w:tcBorders>
              <w:right w:val="single" w:sz="8" w:space="0" w:color="000000"/>
            </w:tcBorders>
            <w:vAlign w:val="center"/>
          </w:tcPr>
          <w:p w14:paraId="47EDEC76" w14:textId="76B6858A" w:rsidR="00F4712C" w:rsidRPr="00424692" w:rsidRDefault="00F4712C" w:rsidP="00F4712C">
            <w:pPr>
              <w:ind w:left="2" w:hanging="2"/>
              <w:contextualSpacing/>
              <w:rPr>
                <w:bCs/>
                <w:sz w:val="24"/>
                <w:szCs w:val="24"/>
              </w:rPr>
            </w:pPr>
            <w:r w:rsidRPr="00424692">
              <w:rPr>
                <w:bCs/>
                <w:sz w:val="24"/>
                <w:szCs w:val="24"/>
              </w:rPr>
              <w:t>Polterauer,</w:t>
            </w:r>
            <w:r w:rsidR="00095EFE">
              <w:rPr>
                <w:bCs/>
                <w:sz w:val="24"/>
                <w:szCs w:val="24"/>
                <w:vertAlign w:val="superscript"/>
              </w:rPr>
              <w:t>21</w:t>
            </w:r>
            <w:r w:rsidRPr="00424692">
              <w:rPr>
                <w:bCs/>
                <w:sz w:val="24"/>
                <w:szCs w:val="24"/>
              </w:rPr>
              <w:t xml:space="preserve"> 2009</w:t>
            </w:r>
          </w:p>
        </w:tc>
        <w:tc>
          <w:tcPr>
            <w:tcW w:w="606" w:type="pct"/>
            <w:vAlign w:val="center"/>
          </w:tcPr>
          <w:p w14:paraId="0D955784" w14:textId="77777777" w:rsidR="00F4712C" w:rsidRPr="00424692" w:rsidRDefault="00F4712C" w:rsidP="00F4712C">
            <w:pPr>
              <w:ind w:left="2" w:hanging="2"/>
              <w:contextualSpacing/>
              <w:jc w:val="center"/>
              <w:rPr>
                <w:bCs/>
                <w:sz w:val="24"/>
                <w:szCs w:val="24"/>
              </w:rPr>
            </w:pPr>
            <w:r w:rsidRPr="00424692">
              <w:rPr>
                <w:bCs/>
                <w:sz w:val="24"/>
                <w:szCs w:val="24"/>
              </w:rPr>
              <w:t>Prior to surgery</w:t>
            </w:r>
          </w:p>
        </w:tc>
        <w:tc>
          <w:tcPr>
            <w:tcW w:w="377" w:type="pct"/>
            <w:tcBorders>
              <w:right w:val="single" w:sz="8" w:space="0" w:color="000000"/>
            </w:tcBorders>
            <w:shd w:val="clear" w:color="auto" w:fill="auto"/>
            <w:tcMar>
              <w:top w:w="0" w:type="dxa"/>
              <w:left w:w="100" w:type="dxa"/>
              <w:bottom w:w="0" w:type="dxa"/>
              <w:right w:w="100" w:type="dxa"/>
            </w:tcMar>
            <w:vAlign w:val="center"/>
          </w:tcPr>
          <w:p w14:paraId="354B24F7" w14:textId="3BAAC639" w:rsidR="00F4712C" w:rsidRPr="00424692" w:rsidRDefault="001E714D" w:rsidP="00F4712C">
            <w:pPr>
              <w:ind w:left="2" w:hanging="2"/>
              <w:contextualSpacing/>
              <w:jc w:val="center"/>
              <w:rPr>
                <w:bCs/>
                <w:sz w:val="24"/>
                <w:szCs w:val="24"/>
              </w:rPr>
            </w:pPr>
            <w:r w:rsidRPr="00424692">
              <w:rPr>
                <w:bCs/>
                <w:color w:val="000000"/>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1ED5F28C" w14:textId="155E741A" w:rsidR="00F4712C" w:rsidRPr="00424692" w:rsidRDefault="001E714D" w:rsidP="00F4712C">
            <w:pPr>
              <w:ind w:left="2" w:hanging="2"/>
              <w:contextualSpacing/>
              <w:jc w:val="center"/>
              <w:rPr>
                <w:bCs/>
                <w:sz w:val="24"/>
                <w:szCs w:val="24"/>
              </w:rPr>
            </w:pPr>
            <w:r w:rsidRPr="00424692">
              <w:rPr>
                <w:bCs/>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10C69E08" w14:textId="5804E19D" w:rsidR="00F4712C" w:rsidRPr="00424692" w:rsidRDefault="001E714D" w:rsidP="00F4712C">
            <w:pPr>
              <w:ind w:left="2" w:hanging="2"/>
              <w:contextualSpacing/>
              <w:jc w:val="center"/>
              <w:rPr>
                <w:bCs/>
                <w:sz w:val="24"/>
                <w:szCs w:val="24"/>
              </w:rPr>
            </w:pPr>
            <w:r w:rsidRPr="00424692">
              <w:rPr>
                <w:bCs/>
                <w:sz w:val="24"/>
                <w:szCs w:val="24"/>
              </w:rPr>
              <w:t>NA</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2EA96316" w14:textId="2A47B7CB" w:rsidR="00F4712C" w:rsidRPr="00424692" w:rsidRDefault="001E714D" w:rsidP="00F4712C">
            <w:pPr>
              <w:ind w:left="2" w:hanging="2"/>
              <w:contextualSpacing/>
              <w:jc w:val="center"/>
              <w:rPr>
                <w:bCs/>
                <w:sz w:val="24"/>
                <w:szCs w:val="24"/>
              </w:rPr>
            </w:pPr>
            <w:r w:rsidRPr="00424692">
              <w:rPr>
                <w:bCs/>
                <w:sz w:val="24"/>
                <w:szCs w:val="24"/>
              </w:rPr>
              <w:t>NA</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334B1617" w14:textId="0FEB358D" w:rsidR="00F4712C" w:rsidRPr="00424692" w:rsidRDefault="00F4712C" w:rsidP="00F4712C">
            <w:pPr>
              <w:ind w:left="2" w:hanging="2"/>
              <w:contextualSpacing/>
              <w:jc w:val="center"/>
              <w:rPr>
                <w:bCs/>
                <w:sz w:val="24"/>
                <w:szCs w:val="24"/>
              </w:rPr>
            </w:pPr>
            <w:r w:rsidRPr="00424692">
              <w:rPr>
                <w:bCs/>
                <w:sz w:val="24"/>
                <w:szCs w:val="24"/>
              </w:rPr>
              <w:t xml:space="preserve">Epithelial </w:t>
            </w:r>
            <w:r w:rsidR="001E714D" w:rsidRPr="00424692">
              <w:rPr>
                <w:bCs/>
                <w:sz w:val="24"/>
                <w:szCs w:val="24"/>
              </w:rPr>
              <w:t>ovarian cancer (not classified)</w:t>
            </w:r>
          </w:p>
        </w:tc>
      </w:tr>
      <w:tr w:rsidR="001E714D" w:rsidRPr="00424692" w14:paraId="28E3041E" w14:textId="77777777" w:rsidTr="001E714D">
        <w:trPr>
          <w:trHeight w:val="291"/>
        </w:trPr>
        <w:tc>
          <w:tcPr>
            <w:tcW w:w="897" w:type="pct"/>
            <w:tcBorders>
              <w:right w:val="single" w:sz="8" w:space="0" w:color="000000"/>
            </w:tcBorders>
            <w:vAlign w:val="center"/>
          </w:tcPr>
          <w:p w14:paraId="774136F3" w14:textId="229EAB23" w:rsidR="00F4712C" w:rsidRPr="00424692" w:rsidRDefault="00F4712C" w:rsidP="001E714D">
            <w:pPr>
              <w:ind w:left="2" w:hanging="2"/>
              <w:contextualSpacing/>
              <w:rPr>
                <w:bCs/>
                <w:sz w:val="24"/>
                <w:szCs w:val="24"/>
              </w:rPr>
            </w:pPr>
            <w:r w:rsidRPr="00424692">
              <w:rPr>
                <w:bCs/>
                <w:sz w:val="24"/>
                <w:szCs w:val="24"/>
              </w:rPr>
              <w:t>Hu,</w:t>
            </w:r>
            <w:r w:rsidR="00095EFE">
              <w:rPr>
                <w:bCs/>
                <w:sz w:val="24"/>
                <w:szCs w:val="24"/>
                <w:vertAlign w:val="superscript"/>
              </w:rPr>
              <w:t>22</w:t>
            </w:r>
            <w:r w:rsidRPr="00424692">
              <w:rPr>
                <w:bCs/>
                <w:sz w:val="24"/>
                <w:szCs w:val="24"/>
              </w:rPr>
              <w:t xml:space="preserve"> 2020</w:t>
            </w:r>
          </w:p>
        </w:tc>
        <w:tc>
          <w:tcPr>
            <w:tcW w:w="606" w:type="pct"/>
            <w:vAlign w:val="center"/>
          </w:tcPr>
          <w:p w14:paraId="1BE60184" w14:textId="77777777" w:rsidR="00F4712C" w:rsidRPr="00424692" w:rsidRDefault="00F4712C" w:rsidP="00F4712C">
            <w:pPr>
              <w:ind w:left="2" w:hanging="2"/>
              <w:contextualSpacing/>
              <w:jc w:val="center"/>
              <w:rPr>
                <w:bCs/>
                <w:sz w:val="24"/>
                <w:szCs w:val="24"/>
              </w:rPr>
            </w:pPr>
            <w:r w:rsidRPr="00424692">
              <w:rPr>
                <w:bCs/>
                <w:sz w:val="24"/>
                <w:szCs w:val="24"/>
              </w:rPr>
              <w:t>Prior to treatment</w:t>
            </w:r>
          </w:p>
        </w:tc>
        <w:tc>
          <w:tcPr>
            <w:tcW w:w="377" w:type="pct"/>
            <w:tcBorders>
              <w:right w:val="single" w:sz="8" w:space="0" w:color="000000"/>
            </w:tcBorders>
            <w:shd w:val="clear" w:color="auto" w:fill="auto"/>
            <w:tcMar>
              <w:top w:w="0" w:type="dxa"/>
              <w:left w:w="100" w:type="dxa"/>
              <w:bottom w:w="0" w:type="dxa"/>
              <w:right w:w="100" w:type="dxa"/>
            </w:tcMar>
            <w:vAlign w:val="center"/>
          </w:tcPr>
          <w:p w14:paraId="61D4D488" w14:textId="0A726BD2" w:rsidR="00F4712C" w:rsidRPr="00424692" w:rsidRDefault="00F4712C" w:rsidP="00F4712C">
            <w:pPr>
              <w:pStyle w:val="NormalWeb"/>
              <w:ind w:hanging="2"/>
              <w:contextualSpacing/>
              <w:jc w:val="center"/>
              <w:rPr>
                <w:bCs/>
                <w:lang w:val="en-US"/>
              </w:rPr>
            </w:pPr>
            <w:r w:rsidRPr="00424692">
              <w:rPr>
                <w:bCs/>
                <w:color w:val="111111"/>
                <w:lang w:val="en-US"/>
              </w:rPr>
              <w:t>29 (27.9)</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3CEA4C5C" w14:textId="76E1D5C9"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≤55: 12 (41.4)</w:t>
            </w:r>
          </w:p>
          <w:p w14:paraId="03802EEE" w14:textId="3DA0A545"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&gt;55: 17 (58.6)</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67951B34" w14:textId="3AAB40E5" w:rsidR="00F4712C" w:rsidRPr="00424692" w:rsidRDefault="001E714D" w:rsidP="00F4712C">
            <w:pPr>
              <w:ind w:left="2" w:hanging="2"/>
              <w:contextualSpacing/>
              <w:jc w:val="center"/>
              <w:rPr>
                <w:bCs/>
                <w:sz w:val="24"/>
                <w:szCs w:val="24"/>
              </w:rPr>
            </w:pPr>
            <w:r w:rsidRPr="00424692">
              <w:rPr>
                <w:bCs/>
                <w:color w:val="131413"/>
                <w:sz w:val="24"/>
                <w:szCs w:val="24"/>
              </w:rPr>
              <w:t>NA</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5E418350" w14:textId="28002361" w:rsidR="00F4712C" w:rsidRPr="00424692" w:rsidRDefault="001E714D" w:rsidP="001E714D">
            <w:pPr>
              <w:ind w:left="2" w:hanging="2"/>
              <w:contextualSpacing/>
              <w:rPr>
                <w:bCs/>
                <w:sz w:val="24"/>
                <w:szCs w:val="24"/>
              </w:rPr>
            </w:pPr>
            <w:r w:rsidRPr="00424692">
              <w:rPr>
                <w:bCs/>
                <w:sz w:val="24"/>
                <w:szCs w:val="24"/>
              </w:rPr>
              <w:t xml:space="preserve">1. </w:t>
            </w:r>
            <w:r w:rsidR="00F4712C" w:rsidRPr="00424692">
              <w:rPr>
                <w:bCs/>
                <w:sz w:val="24"/>
                <w:szCs w:val="24"/>
              </w:rPr>
              <w:t>I/II: 7 (24.1)</w:t>
            </w:r>
          </w:p>
          <w:p w14:paraId="125783B5" w14:textId="1A8E1F9D" w:rsidR="00F4712C" w:rsidRPr="00424692" w:rsidRDefault="001E714D" w:rsidP="001E714D">
            <w:pPr>
              <w:ind w:left="2" w:hanging="2"/>
              <w:contextualSpacing/>
              <w:rPr>
                <w:bCs/>
                <w:sz w:val="24"/>
                <w:szCs w:val="24"/>
              </w:rPr>
            </w:pPr>
            <w:r w:rsidRPr="00424692">
              <w:rPr>
                <w:bCs/>
                <w:sz w:val="24"/>
                <w:szCs w:val="24"/>
              </w:rPr>
              <w:t xml:space="preserve">2. </w:t>
            </w:r>
            <w:r w:rsidR="00F4712C" w:rsidRPr="00424692">
              <w:rPr>
                <w:bCs/>
                <w:sz w:val="24"/>
                <w:szCs w:val="24"/>
              </w:rPr>
              <w:t>III/IV: 22 (75.9)</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426482F5" w14:textId="3AE97BEC" w:rsidR="00F4712C" w:rsidRPr="00424692" w:rsidRDefault="001E714D" w:rsidP="001E714D">
            <w:pPr>
              <w:widowControl/>
              <w:autoSpaceDE/>
              <w:autoSpaceDN/>
              <w:contextualSpacing/>
              <w:rPr>
                <w:bCs/>
                <w:sz w:val="24"/>
                <w:szCs w:val="24"/>
              </w:rPr>
            </w:pPr>
            <w:r w:rsidRPr="00424692">
              <w:rPr>
                <w:bCs/>
                <w:sz w:val="24"/>
                <w:szCs w:val="24"/>
              </w:rPr>
              <w:t xml:space="preserve">1. </w:t>
            </w:r>
            <w:r w:rsidR="00F4712C" w:rsidRPr="00424692">
              <w:rPr>
                <w:bCs/>
                <w:sz w:val="24"/>
                <w:szCs w:val="24"/>
              </w:rPr>
              <w:t>Serous: 23 (79.3)</w:t>
            </w:r>
          </w:p>
          <w:p w14:paraId="2500C06E" w14:textId="0796DCE2" w:rsidR="00F4712C" w:rsidRPr="00424692" w:rsidRDefault="001E714D" w:rsidP="001E714D">
            <w:pPr>
              <w:pStyle w:val="ListParagraph"/>
              <w:widowControl/>
              <w:autoSpaceDE/>
              <w:autoSpaceDN/>
              <w:contextualSpacing/>
              <w:rPr>
                <w:bCs/>
                <w:sz w:val="24"/>
                <w:szCs w:val="24"/>
              </w:rPr>
            </w:pPr>
            <w:r w:rsidRPr="00424692">
              <w:rPr>
                <w:bCs/>
                <w:sz w:val="24"/>
                <w:szCs w:val="24"/>
              </w:rPr>
              <w:t xml:space="preserve">2. </w:t>
            </w:r>
            <w:proofErr w:type="gramStart"/>
            <w:r w:rsidR="00F4712C" w:rsidRPr="00424692">
              <w:rPr>
                <w:bCs/>
                <w:sz w:val="24"/>
                <w:szCs w:val="24"/>
              </w:rPr>
              <w:t>Non-</w:t>
            </w:r>
            <w:r w:rsidRPr="00424692">
              <w:rPr>
                <w:bCs/>
                <w:sz w:val="24"/>
                <w:szCs w:val="24"/>
              </w:rPr>
              <w:t>s</w:t>
            </w:r>
            <w:r w:rsidR="00F4712C" w:rsidRPr="00424692">
              <w:rPr>
                <w:bCs/>
                <w:sz w:val="24"/>
                <w:szCs w:val="24"/>
              </w:rPr>
              <w:t>erous</w:t>
            </w:r>
            <w:proofErr w:type="gramEnd"/>
            <w:r w:rsidR="00F4712C" w:rsidRPr="00424692">
              <w:rPr>
                <w:bCs/>
                <w:sz w:val="24"/>
                <w:szCs w:val="24"/>
              </w:rPr>
              <w:t>: 6 (20.7)</w:t>
            </w:r>
          </w:p>
        </w:tc>
      </w:tr>
      <w:tr w:rsidR="001E714D" w:rsidRPr="00424692" w14:paraId="4BD66A1B" w14:textId="77777777" w:rsidTr="001E714D">
        <w:trPr>
          <w:trHeight w:val="291"/>
        </w:trPr>
        <w:tc>
          <w:tcPr>
            <w:tcW w:w="897" w:type="pct"/>
            <w:tcBorders>
              <w:right w:val="single" w:sz="8" w:space="0" w:color="000000"/>
            </w:tcBorders>
            <w:vAlign w:val="center"/>
          </w:tcPr>
          <w:p w14:paraId="2821C9AB" w14:textId="7FA511B3" w:rsidR="00F4712C" w:rsidRPr="00424692" w:rsidRDefault="00F4712C" w:rsidP="00F4712C">
            <w:pPr>
              <w:ind w:left="2" w:hanging="2"/>
              <w:contextualSpacing/>
              <w:rPr>
                <w:bCs/>
                <w:sz w:val="24"/>
                <w:szCs w:val="24"/>
              </w:rPr>
            </w:pPr>
            <w:r w:rsidRPr="00424692">
              <w:rPr>
                <w:bCs/>
                <w:sz w:val="24"/>
                <w:szCs w:val="24"/>
              </w:rPr>
              <w:t>Feng,</w:t>
            </w:r>
            <w:r w:rsidR="00095EFE">
              <w:rPr>
                <w:bCs/>
                <w:sz w:val="24"/>
                <w:szCs w:val="24"/>
                <w:vertAlign w:val="superscript"/>
              </w:rPr>
              <w:t>23</w:t>
            </w:r>
            <w:r w:rsidRPr="00424692">
              <w:rPr>
                <w:bCs/>
                <w:sz w:val="24"/>
                <w:szCs w:val="24"/>
              </w:rPr>
              <w:t xml:space="preserve"> 2016</w:t>
            </w:r>
          </w:p>
        </w:tc>
        <w:tc>
          <w:tcPr>
            <w:tcW w:w="606" w:type="pct"/>
            <w:vAlign w:val="center"/>
          </w:tcPr>
          <w:p w14:paraId="334265A3" w14:textId="77777777" w:rsidR="00F4712C" w:rsidRPr="00424692" w:rsidRDefault="00F4712C" w:rsidP="00F4712C">
            <w:pPr>
              <w:ind w:left="2" w:hanging="2"/>
              <w:contextualSpacing/>
              <w:jc w:val="center"/>
              <w:rPr>
                <w:bCs/>
                <w:sz w:val="24"/>
                <w:szCs w:val="24"/>
              </w:rPr>
            </w:pPr>
            <w:r w:rsidRPr="00424692">
              <w:rPr>
                <w:bCs/>
                <w:sz w:val="24"/>
                <w:szCs w:val="24"/>
              </w:rPr>
              <w:t>Prior to surgery</w:t>
            </w:r>
          </w:p>
        </w:tc>
        <w:tc>
          <w:tcPr>
            <w:tcW w:w="377" w:type="pct"/>
            <w:tcBorders>
              <w:right w:val="single" w:sz="8" w:space="0" w:color="000000"/>
            </w:tcBorders>
            <w:shd w:val="clear" w:color="auto" w:fill="auto"/>
            <w:tcMar>
              <w:top w:w="0" w:type="dxa"/>
              <w:left w:w="100" w:type="dxa"/>
              <w:bottom w:w="0" w:type="dxa"/>
              <w:right w:w="100" w:type="dxa"/>
            </w:tcMar>
            <w:vAlign w:val="center"/>
          </w:tcPr>
          <w:p w14:paraId="1541E0C1" w14:textId="77777777" w:rsidR="00F4712C" w:rsidRPr="00424692" w:rsidRDefault="00F4712C" w:rsidP="00F4712C">
            <w:pPr>
              <w:ind w:left="2" w:hanging="2"/>
              <w:contextualSpacing/>
              <w:jc w:val="center"/>
              <w:rPr>
                <w:bCs/>
                <w:sz w:val="24"/>
                <w:szCs w:val="24"/>
              </w:rPr>
            </w:pPr>
            <w:r w:rsidRPr="00424692">
              <w:rPr>
                <w:bCs/>
                <w:color w:val="000000"/>
                <w:sz w:val="24"/>
                <w:szCs w:val="24"/>
              </w:rPr>
              <w:t>332 (45.9)</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1B580AFB" w14:textId="6E19BC62" w:rsidR="00F4712C" w:rsidRPr="00424692" w:rsidRDefault="008A28B5" w:rsidP="008A28B5">
            <w:pPr>
              <w:ind w:left="2" w:hanging="2"/>
              <w:contextualSpacing/>
              <w:rPr>
                <w:bCs/>
                <w:sz w:val="24"/>
                <w:szCs w:val="24"/>
              </w:rPr>
            </w:pPr>
            <w:r w:rsidRPr="00424692">
              <w:rPr>
                <w:bCs/>
                <w:sz w:val="24"/>
                <w:szCs w:val="24"/>
              </w:rPr>
              <w:t xml:space="preserve">1. </w:t>
            </w:r>
            <w:r w:rsidR="00F4712C" w:rsidRPr="00424692">
              <w:rPr>
                <w:bCs/>
                <w:sz w:val="24"/>
                <w:szCs w:val="24"/>
              </w:rPr>
              <w:t>&lt;56: 177 (53.3)</w:t>
            </w:r>
          </w:p>
          <w:p w14:paraId="1BAA01DF" w14:textId="4DF30900" w:rsidR="00F4712C" w:rsidRPr="00424692" w:rsidRDefault="008A28B5" w:rsidP="008A28B5">
            <w:pPr>
              <w:ind w:left="2" w:hanging="2"/>
              <w:contextualSpacing/>
              <w:rPr>
                <w:bCs/>
                <w:sz w:val="24"/>
                <w:szCs w:val="24"/>
              </w:rPr>
            </w:pPr>
            <w:r w:rsidRPr="00424692">
              <w:rPr>
                <w:bCs/>
                <w:sz w:val="24"/>
                <w:szCs w:val="24"/>
              </w:rPr>
              <w:t xml:space="preserve">2. </w:t>
            </w:r>
            <w:r w:rsidR="00F4712C" w:rsidRPr="00424692">
              <w:rPr>
                <w:bCs/>
                <w:sz w:val="24"/>
                <w:szCs w:val="24"/>
              </w:rPr>
              <w:t>≥56: 155 (46.7)</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641694D0" w14:textId="6E4530BF" w:rsidR="00F4712C" w:rsidRPr="00424692" w:rsidRDefault="008A28B5" w:rsidP="008A28B5">
            <w:pPr>
              <w:ind w:left="2" w:hanging="2"/>
              <w:contextualSpacing/>
              <w:rPr>
                <w:bCs/>
                <w:sz w:val="24"/>
                <w:szCs w:val="24"/>
              </w:rPr>
            </w:pPr>
            <w:r w:rsidRPr="00424692">
              <w:rPr>
                <w:bCs/>
                <w:sz w:val="24"/>
                <w:szCs w:val="24"/>
              </w:rPr>
              <w:t xml:space="preserve">1. </w:t>
            </w:r>
            <w:r w:rsidR="00F4712C" w:rsidRPr="00424692">
              <w:rPr>
                <w:bCs/>
                <w:sz w:val="24"/>
                <w:szCs w:val="24"/>
              </w:rPr>
              <w:t>&lt;500: 53 (16)</w:t>
            </w:r>
          </w:p>
          <w:p w14:paraId="5157D05E" w14:textId="04CF8A35" w:rsidR="00F4712C" w:rsidRPr="00424692" w:rsidRDefault="008A28B5" w:rsidP="008A28B5">
            <w:pPr>
              <w:ind w:left="2" w:hanging="2"/>
              <w:contextualSpacing/>
              <w:rPr>
                <w:bCs/>
                <w:sz w:val="24"/>
                <w:szCs w:val="24"/>
              </w:rPr>
            </w:pPr>
            <w:r w:rsidRPr="00424692">
              <w:rPr>
                <w:bCs/>
                <w:sz w:val="24"/>
                <w:szCs w:val="24"/>
              </w:rPr>
              <w:t xml:space="preserve">2. </w:t>
            </w:r>
            <w:r w:rsidR="00F4712C" w:rsidRPr="00424692">
              <w:rPr>
                <w:bCs/>
                <w:sz w:val="24"/>
                <w:szCs w:val="24"/>
              </w:rPr>
              <w:t>&gt;500: 272 (84)</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30E19A10" w14:textId="7678E6FF" w:rsidR="00F4712C" w:rsidRPr="00424692" w:rsidRDefault="008A28B5" w:rsidP="008A28B5">
            <w:pPr>
              <w:ind w:left="2" w:hanging="2"/>
              <w:contextualSpacing/>
              <w:rPr>
                <w:bCs/>
                <w:sz w:val="24"/>
                <w:szCs w:val="24"/>
              </w:rPr>
            </w:pPr>
            <w:r w:rsidRPr="00424692">
              <w:rPr>
                <w:bCs/>
                <w:sz w:val="24"/>
                <w:szCs w:val="24"/>
              </w:rPr>
              <w:t xml:space="preserve">1. </w:t>
            </w:r>
            <w:r w:rsidR="00F4712C" w:rsidRPr="00424692">
              <w:rPr>
                <w:bCs/>
                <w:sz w:val="24"/>
                <w:szCs w:val="24"/>
              </w:rPr>
              <w:t>I/II: 12 (3.6)</w:t>
            </w:r>
          </w:p>
          <w:p w14:paraId="59E03193" w14:textId="17B11AFD" w:rsidR="00F4712C" w:rsidRPr="00424692" w:rsidRDefault="008A28B5" w:rsidP="008A28B5">
            <w:pPr>
              <w:ind w:left="2" w:hanging="2"/>
              <w:contextualSpacing/>
              <w:rPr>
                <w:bCs/>
                <w:sz w:val="24"/>
                <w:szCs w:val="24"/>
              </w:rPr>
            </w:pPr>
            <w:r w:rsidRPr="00424692">
              <w:rPr>
                <w:bCs/>
                <w:sz w:val="24"/>
                <w:szCs w:val="24"/>
              </w:rPr>
              <w:t xml:space="preserve">2. </w:t>
            </w:r>
            <w:r w:rsidR="00F4712C" w:rsidRPr="00424692">
              <w:rPr>
                <w:bCs/>
                <w:sz w:val="24"/>
                <w:szCs w:val="24"/>
              </w:rPr>
              <w:t>III/IV: 320 (96.4)</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08DAC579" w14:textId="77777777" w:rsidR="00F4712C" w:rsidRPr="00424692" w:rsidRDefault="00F4712C" w:rsidP="00F4712C">
            <w:pPr>
              <w:ind w:left="2" w:hanging="2"/>
              <w:contextualSpacing/>
              <w:jc w:val="center"/>
              <w:rPr>
                <w:bCs/>
                <w:sz w:val="24"/>
                <w:szCs w:val="24"/>
              </w:rPr>
            </w:pPr>
            <w:r w:rsidRPr="00424692">
              <w:rPr>
                <w:bCs/>
                <w:sz w:val="24"/>
                <w:szCs w:val="24"/>
              </w:rPr>
              <w:t>HGSOC</w:t>
            </w:r>
          </w:p>
        </w:tc>
      </w:tr>
      <w:tr w:rsidR="001E714D" w:rsidRPr="00424692" w14:paraId="3CC0C408" w14:textId="77777777" w:rsidTr="001E714D">
        <w:trPr>
          <w:trHeight w:val="291"/>
        </w:trPr>
        <w:tc>
          <w:tcPr>
            <w:tcW w:w="897" w:type="pct"/>
            <w:tcBorders>
              <w:right w:val="single" w:sz="8" w:space="0" w:color="000000"/>
            </w:tcBorders>
            <w:vAlign w:val="center"/>
          </w:tcPr>
          <w:p w14:paraId="7BB15BA8" w14:textId="7ED0CEAE" w:rsidR="00F4712C" w:rsidRPr="00424692" w:rsidRDefault="00F4712C" w:rsidP="00F4712C">
            <w:pPr>
              <w:ind w:left="2" w:hanging="2"/>
              <w:contextualSpacing/>
              <w:rPr>
                <w:bCs/>
                <w:sz w:val="24"/>
                <w:szCs w:val="24"/>
              </w:rPr>
            </w:pPr>
            <w:r w:rsidRPr="00424692">
              <w:rPr>
                <w:bCs/>
                <w:sz w:val="24"/>
                <w:szCs w:val="24"/>
              </w:rPr>
              <w:t>Zhang,</w:t>
            </w:r>
            <w:r w:rsidR="00095EFE">
              <w:rPr>
                <w:bCs/>
                <w:sz w:val="24"/>
                <w:szCs w:val="24"/>
                <w:vertAlign w:val="superscript"/>
              </w:rPr>
              <w:t>24</w:t>
            </w:r>
            <w:r w:rsidRPr="00424692">
              <w:rPr>
                <w:bCs/>
                <w:sz w:val="24"/>
                <w:szCs w:val="24"/>
              </w:rPr>
              <w:t>2015</w:t>
            </w:r>
          </w:p>
        </w:tc>
        <w:tc>
          <w:tcPr>
            <w:tcW w:w="606" w:type="pct"/>
            <w:vAlign w:val="center"/>
          </w:tcPr>
          <w:p w14:paraId="5E1631AB" w14:textId="77777777" w:rsidR="00F4712C" w:rsidRPr="00424692" w:rsidRDefault="00F4712C" w:rsidP="00F4712C">
            <w:pPr>
              <w:ind w:left="2" w:hanging="2"/>
              <w:contextualSpacing/>
              <w:jc w:val="center"/>
              <w:rPr>
                <w:bCs/>
                <w:sz w:val="24"/>
                <w:szCs w:val="24"/>
              </w:rPr>
            </w:pPr>
            <w:r w:rsidRPr="00424692">
              <w:rPr>
                <w:bCs/>
                <w:sz w:val="24"/>
                <w:szCs w:val="24"/>
              </w:rPr>
              <w:t>Prior to surgery</w:t>
            </w:r>
          </w:p>
        </w:tc>
        <w:tc>
          <w:tcPr>
            <w:tcW w:w="377" w:type="pct"/>
            <w:tcBorders>
              <w:right w:val="single" w:sz="8" w:space="0" w:color="000000"/>
            </w:tcBorders>
            <w:shd w:val="clear" w:color="auto" w:fill="auto"/>
            <w:tcMar>
              <w:top w:w="0" w:type="dxa"/>
              <w:left w:w="100" w:type="dxa"/>
              <w:bottom w:w="0" w:type="dxa"/>
              <w:right w:w="100" w:type="dxa"/>
            </w:tcMar>
            <w:vAlign w:val="center"/>
          </w:tcPr>
          <w:p w14:paraId="147C4DDB" w14:textId="5DA21811" w:rsidR="00F4712C" w:rsidRPr="00424692" w:rsidRDefault="008A28B5" w:rsidP="00F4712C">
            <w:pPr>
              <w:ind w:left="2" w:hanging="2"/>
              <w:contextualSpacing/>
              <w:jc w:val="center"/>
              <w:rPr>
                <w:bCs/>
                <w:sz w:val="24"/>
                <w:szCs w:val="24"/>
              </w:rPr>
            </w:pPr>
            <w:r w:rsidRPr="00424692">
              <w:rPr>
                <w:bCs/>
                <w:color w:val="000000"/>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7FC39123" w14:textId="6E4E302E" w:rsidR="00F4712C" w:rsidRPr="00424692" w:rsidRDefault="008A28B5" w:rsidP="00F4712C">
            <w:pPr>
              <w:ind w:left="2" w:hanging="2"/>
              <w:contextualSpacing/>
              <w:jc w:val="center"/>
              <w:rPr>
                <w:bCs/>
                <w:sz w:val="24"/>
                <w:szCs w:val="24"/>
              </w:rPr>
            </w:pPr>
            <w:r w:rsidRPr="00424692">
              <w:rPr>
                <w:bCs/>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0CA3EFF7" w14:textId="3ED0DC14" w:rsidR="00F4712C" w:rsidRPr="00424692" w:rsidRDefault="008A28B5" w:rsidP="00F4712C">
            <w:pPr>
              <w:ind w:left="2" w:hanging="2"/>
              <w:contextualSpacing/>
              <w:jc w:val="center"/>
              <w:rPr>
                <w:bCs/>
                <w:sz w:val="24"/>
                <w:szCs w:val="24"/>
              </w:rPr>
            </w:pPr>
            <w:r w:rsidRPr="00424692">
              <w:rPr>
                <w:bCs/>
                <w:sz w:val="24"/>
                <w:szCs w:val="24"/>
              </w:rPr>
              <w:t>NA</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0839A123" w14:textId="5D6749BA" w:rsidR="00F4712C" w:rsidRPr="00424692" w:rsidRDefault="008A28B5" w:rsidP="00F4712C">
            <w:pPr>
              <w:ind w:left="2" w:hanging="2"/>
              <w:contextualSpacing/>
              <w:jc w:val="center"/>
              <w:rPr>
                <w:bCs/>
                <w:sz w:val="24"/>
                <w:szCs w:val="24"/>
              </w:rPr>
            </w:pPr>
            <w:r w:rsidRPr="00424692">
              <w:rPr>
                <w:bCs/>
                <w:sz w:val="24"/>
                <w:szCs w:val="24"/>
              </w:rPr>
              <w:t>NA</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25E77D5B" w14:textId="3D476171" w:rsidR="00F4712C" w:rsidRPr="00424692" w:rsidRDefault="008A28B5" w:rsidP="00F4712C">
            <w:pPr>
              <w:ind w:left="2" w:hanging="2"/>
              <w:contextualSpacing/>
              <w:jc w:val="center"/>
              <w:rPr>
                <w:bCs/>
                <w:sz w:val="24"/>
                <w:szCs w:val="24"/>
              </w:rPr>
            </w:pPr>
            <w:r w:rsidRPr="00424692">
              <w:rPr>
                <w:bCs/>
                <w:sz w:val="24"/>
                <w:szCs w:val="24"/>
              </w:rPr>
              <w:t>NA</w:t>
            </w:r>
          </w:p>
        </w:tc>
      </w:tr>
      <w:tr w:rsidR="001E714D" w:rsidRPr="00424692" w14:paraId="773D07DF" w14:textId="77777777" w:rsidTr="001E714D">
        <w:trPr>
          <w:trHeight w:val="291"/>
        </w:trPr>
        <w:tc>
          <w:tcPr>
            <w:tcW w:w="897" w:type="pct"/>
            <w:tcBorders>
              <w:right w:val="single" w:sz="8" w:space="0" w:color="000000"/>
            </w:tcBorders>
            <w:vAlign w:val="center"/>
          </w:tcPr>
          <w:p w14:paraId="4A2D34AE" w14:textId="78CF658C" w:rsidR="00F4712C" w:rsidRPr="00424692" w:rsidRDefault="00F4712C" w:rsidP="00F4712C">
            <w:pPr>
              <w:ind w:left="2" w:hanging="2"/>
              <w:contextualSpacing/>
              <w:rPr>
                <w:bCs/>
                <w:sz w:val="24"/>
                <w:szCs w:val="24"/>
              </w:rPr>
            </w:pPr>
            <w:r w:rsidRPr="00424692">
              <w:rPr>
                <w:bCs/>
                <w:sz w:val="24"/>
                <w:szCs w:val="24"/>
              </w:rPr>
              <w:t>Man,</w:t>
            </w:r>
            <w:r w:rsidR="00095EFE">
              <w:rPr>
                <w:bCs/>
                <w:sz w:val="24"/>
                <w:szCs w:val="24"/>
                <w:vertAlign w:val="superscript"/>
              </w:rPr>
              <w:t>25</w:t>
            </w:r>
            <w:r w:rsidRPr="00424692">
              <w:rPr>
                <w:bCs/>
                <w:sz w:val="24"/>
                <w:szCs w:val="24"/>
              </w:rPr>
              <w:t xml:space="preserve"> 2015</w:t>
            </w:r>
          </w:p>
        </w:tc>
        <w:tc>
          <w:tcPr>
            <w:tcW w:w="606" w:type="pct"/>
            <w:vAlign w:val="center"/>
          </w:tcPr>
          <w:p w14:paraId="434AE5E1" w14:textId="77777777" w:rsidR="00F4712C" w:rsidRPr="00424692" w:rsidRDefault="00F4712C" w:rsidP="00F4712C">
            <w:pPr>
              <w:ind w:left="2" w:hanging="2"/>
              <w:contextualSpacing/>
              <w:jc w:val="center"/>
              <w:rPr>
                <w:bCs/>
                <w:sz w:val="24"/>
                <w:szCs w:val="24"/>
              </w:rPr>
            </w:pPr>
            <w:r w:rsidRPr="00424692">
              <w:rPr>
                <w:bCs/>
                <w:sz w:val="24"/>
                <w:szCs w:val="24"/>
              </w:rPr>
              <w:t>Prior to treatment</w:t>
            </w:r>
          </w:p>
        </w:tc>
        <w:tc>
          <w:tcPr>
            <w:tcW w:w="377" w:type="pct"/>
            <w:tcBorders>
              <w:right w:val="single" w:sz="8" w:space="0" w:color="000000"/>
            </w:tcBorders>
            <w:shd w:val="clear" w:color="auto" w:fill="auto"/>
            <w:tcMar>
              <w:top w:w="0" w:type="dxa"/>
              <w:left w:w="100" w:type="dxa"/>
              <w:bottom w:w="0" w:type="dxa"/>
              <w:right w:w="100" w:type="dxa"/>
            </w:tcMar>
            <w:vAlign w:val="center"/>
          </w:tcPr>
          <w:p w14:paraId="621346AF" w14:textId="364F844C" w:rsidR="00F4712C" w:rsidRPr="00424692" w:rsidRDefault="00F4712C" w:rsidP="008A28B5">
            <w:pPr>
              <w:pStyle w:val="NormalWeb"/>
              <w:ind w:hanging="2"/>
              <w:contextualSpacing/>
              <w:jc w:val="center"/>
              <w:rPr>
                <w:bCs/>
                <w:lang w:val="en-US"/>
              </w:rPr>
            </w:pPr>
            <w:r w:rsidRPr="00424692">
              <w:rPr>
                <w:bCs/>
                <w:color w:val="000000"/>
                <w:lang w:val="en-US"/>
              </w:rPr>
              <w:t>80 (42.11)</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188B913A" w14:textId="24AB0B72" w:rsidR="00F4712C" w:rsidRPr="00424692" w:rsidRDefault="008A28B5" w:rsidP="008A28B5">
            <w:pPr>
              <w:ind w:left="2" w:hanging="2"/>
              <w:contextualSpacing/>
              <w:rPr>
                <w:bCs/>
                <w:sz w:val="24"/>
                <w:szCs w:val="24"/>
              </w:rPr>
            </w:pPr>
            <w:r w:rsidRPr="00424692">
              <w:rPr>
                <w:bCs/>
                <w:sz w:val="24"/>
                <w:szCs w:val="24"/>
              </w:rPr>
              <w:t xml:space="preserve">1. </w:t>
            </w:r>
            <w:r w:rsidR="00F4712C" w:rsidRPr="00424692">
              <w:rPr>
                <w:bCs/>
                <w:sz w:val="24"/>
                <w:szCs w:val="24"/>
              </w:rPr>
              <w:t>≤55: 34</w:t>
            </w:r>
          </w:p>
          <w:p w14:paraId="3D4F15E4" w14:textId="28D08033" w:rsidR="00F4712C" w:rsidRPr="00424692" w:rsidRDefault="008A28B5" w:rsidP="008A28B5">
            <w:pPr>
              <w:ind w:left="2" w:hanging="2"/>
              <w:contextualSpacing/>
              <w:rPr>
                <w:bCs/>
                <w:sz w:val="24"/>
                <w:szCs w:val="24"/>
              </w:rPr>
            </w:pPr>
            <w:r w:rsidRPr="00424692">
              <w:rPr>
                <w:bCs/>
                <w:sz w:val="24"/>
                <w:szCs w:val="24"/>
              </w:rPr>
              <w:t xml:space="preserve">2. </w:t>
            </w:r>
            <w:r w:rsidR="00F4712C" w:rsidRPr="00424692">
              <w:rPr>
                <w:bCs/>
                <w:sz w:val="24"/>
                <w:szCs w:val="24"/>
              </w:rPr>
              <w:t>&gt;55: 46</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1E07B208" w14:textId="1A82981C" w:rsidR="00F4712C" w:rsidRPr="00424692" w:rsidRDefault="008A28B5" w:rsidP="00F4712C">
            <w:pPr>
              <w:ind w:left="2" w:hanging="2"/>
              <w:contextualSpacing/>
              <w:jc w:val="center"/>
              <w:rPr>
                <w:bCs/>
                <w:sz w:val="24"/>
                <w:szCs w:val="24"/>
              </w:rPr>
            </w:pPr>
            <w:r w:rsidRPr="00424692">
              <w:rPr>
                <w:bCs/>
                <w:sz w:val="24"/>
                <w:szCs w:val="24"/>
              </w:rPr>
              <w:t>NA</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2845AD75" w14:textId="225DAA42" w:rsidR="00F4712C" w:rsidRPr="00424692" w:rsidRDefault="008A28B5" w:rsidP="008A28B5">
            <w:pPr>
              <w:ind w:left="2" w:hanging="2"/>
              <w:contextualSpacing/>
              <w:rPr>
                <w:bCs/>
                <w:sz w:val="24"/>
                <w:szCs w:val="24"/>
              </w:rPr>
            </w:pPr>
            <w:r w:rsidRPr="00424692">
              <w:rPr>
                <w:bCs/>
                <w:sz w:val="24"/>
                <w:szCs w:val="24"/>
              </w:rPr>
              <w:t xml:space="preserve">1. </w:t>
            </w:r>
            <w:r w:rsidR="00F4712C" w:rsidRPr="00424692">
              <w:rPr>
                <w:bCs/>
                <w:sz w:val="24"/>
                <w:szCs w:val="24"/>
              </w:rPr>
              <w:t>I/II: 29</w:t>
            </w:r>
          </w:p>
          <w:p w14:paraId="141C1F19" w14:textId="6C506025" w:rsidR="00F4712C" w:rsidRPr="00424692" w:rsidRDefault="008A28B5" w:rsidP="008A28B5">
            <w:pPr>
              <w:ind w:left="2" w:hanging="2"/>
              <w:contextualSpacing/>
              <w:rPr>
                <w:bCs/>
                <w:sz w:val="24"/>
                <w:szCs w:val="24"/>
              </w:rPr>
            </w:pPr>
            <w:r w:rsidRPr="00424692">
              <w:rPr>
                <w:bCs/>
                <w:sz w:val="24"/>
                <w:szCs w:val="24"/>
              </w:rPr>
              <w:t xml:space="preserve">2. </w:t>
            </w:r>
            <w:r w:rsidR="00F4712C" w:rsidRPr="00424692">
              <w:rPr>
                <w:bCs/>
                <w:sz w:val="24"/>
                <w:szCs w:val="24"/>
              </w:rPr>
              <w:t>III/IV: 51</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15E1C166" w14:textId="6F56A4C0" w:rsidR="00F4712C" w:rsidRPr="00424692" w:rsidRDefault="008A28B5" w:rsidP="008A28B5">
            <w:pPr>
              <w:widowControl/>
              <w:autoSpaceDE/>
              <w:autoSpaceDN/>
              <w:contextualSpacing/>
              <w:rPr>
                <w:bCs/>
                <w:sz w:val="24"/>
                <w:szCs w:val="24"/>
              </w:rPr>
            </w:pPr>
            <w:r w:rsidRPr="00424692">
              <w:rPr>
                <w:bCs/>
                <w:sz w:val="24"/>
                <w:szCs w:val="24"/>
              </w:rPr>
              <w:t xml:space="preserve">1. </w:t>
            </w:r>
            <w:r w:rsidR="00F4712C" w:rsidRPr="00424692">
              <w:rPr>
                <w:bCs/>
                <w:sz w:val="24"/>
                <w:szCs w:val="24"/>
              </w:rPr>
              <w:t>Serous: 41</w:t>
            </w:r>
          </w:p>
          <w:p w14:paraId="10C52C31" w14:textId="05182E1C" w:rsidR="00F4712C" w:rsidRPr="00424692" w:rsidRDefault="008A28B5" w:rsidP="008A28B5">
            <w:pPr>
              <w:widowControl/>
              <w:autoSpaceDE/>
              <w:autoSpaceDN/>
              <w:contextualSpacing/>
              <w:rPr>
                <w:bCs/>
                <w:sz w:val="24"/>
                <w:szCs w:val="24"/>
              </w:rPr>
            </w:pPr>
            <w:r w:rsidRPr="00424692">
              <w:rPr>
                <w:bCs/>
                <w:sz w:val="24"/>
                <w:szCs w:val="24"/>
              </w:rPr>
              <w:t xml:space="preserve">2. </w:t>
            </w:r>
            <w:proofErr w:type="gramStart"/>
            <w:r w:rsidR="00F4712C" w:rsidRPr="00424692">
              <w:rPr>
                <w:bCs/>
                <w:sz w:val="24"/>
                <w:szCs w:val="24"/>
              </w:rPr>
              <w:t>Non-serous</w:t>
            </w:r>
            <w:proofErr w:type="gramEnd"/>
            <w:r w:rsidR="00F4712C" w:rsidRPr="00424692">
              <w:rPr>
                <w:bCs/>
                <w:sz w:val="24"/>
                <w:szCs w:val="24"/>
              </w:rPr>
              <w:t>: 39</w:t>
            </w:r>
          </w:p>
        </w:tc>
      </w:tr>
      <w:tr w:rsidR="001E714D" w:rsidRPr="00424692" w14:paraId="0BB631AE" w14:textId="77777777" w:rsidTr="001E714D">
        <w:trPr>
          <w:trHeight w:val="291"/>
        </w:trPr>
        <w:tc>
          <w:tcPr>
            <w:tcW w:w="897" w:type="pct"/>
            <w:tcBorders>
              <w:right w:val="single" w:sz="8" w:space="0" w:color="000000"/>
            </w:tcBorders>
            <w:vAlign w:val="center"/>
          </w:tcPr>
          <w:p w14:paraId="7B63FF6D" w14:textId="5BD1BED1" w:rsidR="00F4712C" w:rsidRPr="00424692" w:rsidRDefault="00F4712C" w:rsidP="00F4712C">
            <w:pPr>
              <w:ind w:left="2" w:hanging="2"/>
              <w:contextualSpacing/>
              <w:rPr>
                <w:bCs/>
                <w:sz w:val="24"/>
                <w:szCs w:val="24"/>
              </w:rPr>
            </w:pPr>
            <w:r w:rsidRPr="00424692">
              <w:rPr>
                <w:bCs/>
                <w:sz w:val="24"/>
                <w:szCs w:val="24"/>
              </w:rPr>
              <w:lastRenderedPageBreak/>
              <w:t>Liu,</w:t>
            </w:r>
            <w:r w:rsidR="00095EFE">
              <w:rPr>
                <w:bCs/>
                <w:sz w:val="24"/>
                <w:szCs w:val="24"/>
                <w:vertAlign w:val="superscript"/>
              </w:rPr>
              <w:t>26</w:t>
            </w:r>
            <w:r w:rsidRPr="00424692">
              <w:rPr>
                <w:bCs/>
                <w:sz w:val="24"/>
                <w:szCs w:val="24"/>
              </w:rPr>
              <w:t xml:space="preserve"> 2015</w:t>
            </w:r>
          </w:p>
        </w:tc>
        <w:tc>
          <w:tcPr>
            <w:tcW w:w="606" w:type="pct"/>
            <w:vAlign w:val="center"/>
          </w:tcPr>
          <w:p w14:paraId="464AFDE5" w14:textId="77777777" w:rsidR="00F4712C" w:rsidRPr="00424692" w:rsidRDefault="00F4712C" w:rsidP="00F4712C">
            <w:pPr>
              <w:ind w:left="2" w:hanging="2"/>
              <w:contextualSpacing/>
              <w:jc w:val="center"/>
              <w:rPr>
                <w:bCs/>
                <w:sz w:val="24"/>
                <w:szCs w:val="24"/>
              </w:rPr>
            </w:pPr>
            <w:r w:rsidRPr="00424692">
              <w:rPr>
                <w:bCs/>
                <w:sz w:val="24"/>
                <w:szCs w:val="24"/>
              </w:rPr>
              <w:t>Prior to primary surgery</w:t>
            </w:r>
          </w:p>
        </w:tc>
        <w:tc>
          <w:tcPr>
            <w:tcW w:w="377" w:type="pct"/>
            <w:tcBorders>
              <w:right w:val="single" w:sz="8" w:space="0" w:color="000000"/>
            </w:tcBorders>
            <w:shd w:val="clear" w:color="auto" w:fill="auto"/>
            <w:tcMar>
              <w:top w:w="0" w:type="dxa"/>
              <w:left w:w="100" w:type="dxa"/>
              <w:bottom w:w="0" w:type="dxa"/>
              <w:right w:w="100" w:type="dxa"/>
            </w:tcMar>
            <w:vAlign w:val="center"/>
          </w:tcPr>
          <w:p w14:paraId="45FB196D" w14:textId="77777777" w:rsidR="00F4712C" w:rsidRPr="00424692" w:rsidRDefault="00F4712C" w:rsidP="00F4712C">
            <w:pPr>
              <w:ind w:left="2" w:hanging="2"/>
              <w:contextualSpacing/>
              <w:jc w:val="center"/>
              <w:rPr>
                <w:bCs/>
                <w:sz w:val="24"/>
                <w:szCs w:val="24"/>
              </w:rPr>
            </w:pPr>
            <w:r w:rsidRPr="00424692">
              <w:rPr>
                <w:bCs/>
                <w:color w:val="000000"/>
                <w:sz w:val="24"/>
                <w:szCs w:val="24"/>
              </w:rPr>
              <w:t>46 (36.8)</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4D0B3F44" w14:textId="577E906D" w:rsidR="00F4712C" w:rsidRPr="00424692" w:rsidRDefault="008A28B5" w:rsidP="00F4712C">
            <w:pPr>
              <w:ind w:left="2" w:hanging="2"/>
              <w:contextualSpacing/>
              <w:jc w:val="center"/>
              <w:rPr>
                <w:bCs/>
                <w:sz w:val="24"/>
                <w:szCs w:val="24"/>
              </w:rPr>
            </w:pPr>
            <w:r w:rsidRPr="00424692">
              <w:rPr>
                <w:bCs/>
                <w:sz w:val="24"/>
                <w:szCs w:val="24"/>
              </w:rPr>
              <w:t>NA</w:t>
            </w:r>
          </w:p>
        </w:tc>
        <w:tc>
          <w:tcPr>
            <w:tcW w:w="867" w:type="pct"/>
            <w:tcBorders>
              <w:right w:val="single" w:sz="8" w:space="0" w:color="000000"/>
            </w:tcBorders>
            <w:shd w:val="clear" w:color="auto" w:fill="auto"/>
            <w:tcMar>
              <w:top w:w="100" w:type="dxa"/>
              <w:left w:w="100" w:type="dxa"/>
              <w:bottom w:w="100" w:type="dxa"/>
              <w:right w:w="100" w:type="dxa"/>
            </w:tcMar>
            <w:vAlign w:val="center"/>
          </w:tcPr>
          <w:p w14:paraId="4386F748" w14:textId="5A45A67B" w:rsidR="00F4712C" w:rsidRPr="00424692" w:rsidRDefault="008A28B5" w:rsidP="00F4712C">
            <w:pPr>
              <w:ind w:left="2" w:hanging="2"/>
              <w:contextualSpacing/>
              <w:jc w:val="center"/>
              <w:rPr>
                <w:bCs/>
                <w:sz w:val="24"/>
                <w:szCs w:val="24"/>
              </w:rPr>
            </w:pPr>
            <w:r w:rsidRPr="00424692">
              <w:rPr>
                <w:bCs/>
                <w:sz w:val="24"/>
                <w:szCs w:val="24"/>
              </w:rPr>
              <w:t>NA</w:t>
            </w:r>
          </w:p>
        </w:tc>
        <w:tc>
          <w:tcPr>
            <w:tcW w:w="534" w:type="pct"/>
            <w:tcBorders>
              <w:right w:val="single" w:sz="8" w:space="0" w:color="000000"/>
            </w:tcBorders>
            <w:shd w:val="clear" w:color="auto" w:fill="auto"/>
            <w:tcMar>
              <w:top w:w="100" w:type="dxa"/>
              <w:left w:w="100" w:type="dxa"/>
              <w:bottom w:w="100" w:type="dxa"/>
              <w:right w:w="100" w:type="dxa"/>
            </w:tcMar>
            <w:vAlign w:val="center"/>
          </w:tcPr>
          <w:p w14:paraId="2BC96E5B" w14:textId="2BB1FA54" w:rsidR="00F4712C" w:rsidRPr="00424692" w:rsidRDefault="008A28B5" w:rsidP="00F4712C">
            <w:pPr>
              <w:ind w:left="2" w:hanging="2"/>
              <w:contextualSpacing/>
              <w:jc w:val="center"/>
              <w:rPr>
                <w:bCs/>
                <w:sz w:val="24"/>
                <w:szCs w:val="24"/>
              </w:rPr>
            </w:pPr>
            <w:r w:rsidRPr="00424692">
              <w:rPr>
                <w:bCs/>
                <w:sz w:val="24"/>
                <w:szCs w:val="24"/>
              </w:rPr>
              <w:t>NA</w:t>
            </w:r>
          </w:p>
        </w:tc>
        <w:tc>
          <w:tcPr>
            <w:tcW w:w="852" w:type="pct"/>
            <w:tcBorders>
              <w:right w:val="single" w:sz="8" w:space="0" w:color="000000"/>
            </w:tcBorders>
            <w:shd w:val="clear" w:color="auto" w:fill="auto"/>
            <w:tcMar>
              <w:top w:w="100" w:type="dxa"/>
              <w:left w:w="100" w:type="dxa"/>
              <w:bottom w:w="100" w:type="dxa"/>
              <w:right w:w="100" w:type="dxa"/>
            </w:tcMar>
            <w:vAlign w:val="center"/>
          </w:tcPr>
          <w:p w14:paraId="699B73CB" w14:textId="72368686" w:rsidR="00F4712C" w:rsidRPr="00424692" w:rsidRDefault="00F4712C" w:rsidP="00F4712C">
            <w:pPr>
              <w:ind w:left="2" w:hanging="2"/>
              <w:contextualSpacing/>
              <w:jc w:val="center"/>
              <w:rPr>
                <w:bCs/>
                <w:sz w:val="24"/>
                <w:szCs w:val="24"/>
              </w:rPr>
            </w:pPr>
            <w:r w:rsidRPr="00424692">
              <w:rPr>
                <w:bCs/>
                <w:sz w:val="24"/>
                <w:szCs w:val="24"/>
              </w:rPr>
              <w:t xml:space="preserve">Serous </w:t>
            </w:r>
            <w:r w:rsidR="008A28B5" w:rsidRPr="00424692">
              <w:rPr>
                <w:bCs/>
                <w:sz w:val="24"/>
                <w:szCs w:val="24"/>
              </w:rPr>
              <w:t>ovarian cancer</w:t>
            </w:r>
          </w:p>
        </w:tc>
      </w:tr>
      <w:tr w:rsidR="001E714D" w:rsidRPr="00424692" w14:paraId="128E6C0F" w14:textId="77777777" w:rsidTr="001E714D">
        <w:trPr>
          <w:trHeight w:val="28"/>
        </w:trPr>
        <w:tc>
          <w:tcPr>
            <w:tcW w:w="897" w:type="pct"/>
            <w:tcBorders>
              <w:bottom w:val="single" w:sz="8" w:space="0" w:color="000000"/>
              <w:right w:val="single" w:sz="8" w:space="0" w:color="000000"/>
            </w:tcBorders>
            <w:vAlign w:val="center"/>
          </w:tcPr>
          <w:p w14:paraId="679C8825" w14:textId="41BCFDAB" w:rsidR="00F4712C" w:rsidRPr="00424692" w:rsidRDefault="00F4712C" w:rsidP="00F4712C">
            <w:pPr>
              <w:ind w:left="2" w:hanging="2"/>
              <w:contextualSpacing/>
              <w:rPr>
                <w:bCs/>
                <w:sz w:val="24"/>
                <w:szCs w:val="24"/>
              </w:rPr>
            </w:pPr>
            <w:r w:rsidRPr="00424692">
              <w:rPr>
                <w:bCs/>
                <w:sz w:val="24"/>
                <w:szCs w:val="24"/>
              </w:rPr>
              <w:t>Luo,</w:t>
            </w:r>
            <w:r w:rsidR="00095EFE">
              <w:rPr>
                <w:bCs/>
                <w:sz w:val="24"/>
                <w:szCs w:val="24"/>
                <w:vertAlign w:val="superscript"/>
              </w:rPr>
              <w:t>27</w:t>
            </w:r>
            <w:r w:rsidRPr="00424692">
              <w:rPr>
                <w:bCs/>
                <w:sz w:val="24"/>
                <w:szCs w:val="24"/>
              </w:rPr>
              <w:t xml:space="preserve"> 2017</w:t>
            </w:r>
          </w:p>
        </w:tc>
        <w:tc>
          <w:tcPr>
            <w:tcW w:w="606" w:type="pct"/>
            <w:tcBorders>
              <w:bottom w:val="single" w:sz="8" w:space="0" w:color="000000"/>
            </w:tcBorders>
            <w:vAlign w:val="center"/>
          </w:tcPr>
          <w:p w14:paraId="7B1FEC86" w14:textId="77777777" w:rsidR="00F4712C" w:rsidRPr="00424692" w:rsidRDefault="00F4712C" w:rsidP="00F4712C">
            <w:pPr>
              <w:ind w:left="2" w:hanging="2"/>
              <w:contextualSpacing/>
              <w:jc w:val="center"/>
              <w:rPr>
                <w:bCs/>
                <w:sz w:val="24"/>
                <w:szCs w:val="24"/>
              </w:rPr>
            </w:pPr>
            <w:r w:rsidRPr="00424692">
              <w:rPr>
                <w:bCs/>
                <w:sz w:val="24"/>
                <w:szCs w:val="24"/>
              </w:rPr>
              <w:t>Prior to treatment</w:t>
            </w:r>
          </w:p>
        </w:tc>
        <w:tc>
          <w:tcPr>
            <w:tcW w:w="377" w:type="pct"/>
            <w:tcBorders>
              <w:bottom w:val="single" w:sz="8" w:space="0" w:color="000000"/>
              <w:right w:val="single" w:sz="8" w:space="0" w:color="000000"/>
            </w:tcBorders>
            <w:shd w:val="clear" w:color="auto" w:fill="auto"/>
            <w:tcMar>
              <w:top w:w="0" w:type="dxa"/>
              <w:left w:w="100" w:type="dxa"/>
              <w:bottom w:w="0" w:type="dxa"/>
              <w:right w:w="100" w:type="dxa"/>
            </w:tcMar>
            <w:vAlign w:val="center"/>
          </w:tcPr>
          <w:p w14:paraId="12C1BEE7" w14:textId="6E01A6EA" w:rsidR="00F4712C" w:rsidRPr="00424692" w:rsidRDefault="008A28B5" w:rsidP="00F4712C">
            <w:pPr>
              <w:ind w:left="2" w:hanging="2"/>
              <w:contextualSpacing/>
              <w:jc w:val="center"/>
              <w:rPr>
                <w:bCs/>
                <w:sz w:val="24"/>
                <w:szCs w:val="24"/>
              </w:rPr>
            </w:pPr>
            <w:r w:rsidRPr="00424692">
              <w:rPr>
                <w:bCs/>
                <w:color w:val="000000"/>
                <w:sz w:val="24"/>
                <w:szCs w:val="24"/>
              </w:rPr>
              <w:t>NA</w:t>
            </w:r>
          </w:p>
        </w:tc>
        <w:tc>
          <w:tcPr>
            <w:tcW w:w="867" w:type="pct"/>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DC55EE3" w14:textId="60D36BA8" w:rsidR="00F4712C" w:rsidRPr="00424692" w:rsidRDefault="008A28B5" w:rsidP="00F4712C">
            <w:pPr>
              <w:ind w:left="2" w:hanging="2"/>
              <w:contextualSpacing/>
              <w:jc w:val="center"/>
              <w:rPr>
                <w:bCs/>
                <w:sz w:val="24"/>
                <w:szCs w:val="24"/>
              </w:rPr>
            </w:pPr>
            <w:r w:rsidRPr="00424692">
              <w:rPr>
                <w:bCs/>
                <w:sz w:val="24"/>
                <w:szCs w:val="24"/>
              </w:rPr>
              <w:t>NA</w:t>
            </w:r>
          </w:p>
        </w:tc>
        <w:tc>
          <w:tcPr>
            <w:tcW w:w="867" w:type="pct"/>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7D6026F" w14:textId="77777777" w:rsidR="00F4712C" w:rsidRPr="00424692" w:rsidRDefault="00F4712C" w:rsidP="00F4712C">
            <w:pPr>
              <w:ind w:left="2" w:hanging="2"/>
              <w:contextualSpacing/>
              <w:jc w:val="center"/>
              <w:rPr>
                <w:bCs/>
                <w:sz w:val="24"/>
                <w:szCs w:val="24"/>
              </w:rPr>
            </w:pPr>
            <w:r w:rsidRPr="00424692">
              <w:rPr>
                <w:bCs/>
                <w:sz w:val="24"/>
                <w:szCs w:val="24"/>
              </w:rPr>
              <w:t>4,442.5</w:t>
            </w:r>
          </w:p>
        </w:tc>
        <w:tc>
          <w:tcPr>
            <w:tcW w:w="534" w:type="pct"/>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828193E" w14:textId="11EB3F21" w:rsidR="00F4712C" w:rsidRPr="00424692" w:rsidRDefault="00F4712C" w:rsidP="00F4712C">
            <w:pPr>
              <w:ind w:left="2" w:hanging="2"/>
              <w:contextualSpacing/>
              <w:jc w:val="center"/>
              <w:rPr>
                <w:bCs/>
                <w:sz w:val="24"/>
                <w:szCs w:val="24"/>
              </w:rPr>
            </w:pPr>
            <w:r w:rsidRPr="00424692">
              <w:rPr>
                <w:bCs/>
                <w:sz w:val="24"/>
                <w:szCs w:val="24"/>
              </w:rPr>
              <w:t xml:space="preserve">Advanced </w:t>
            </w:r>
            <w:r w:rsidR="008A28B5" w:rsidRPr="00424692">
              <w:rPr>
                <w:bCs/>
                <w:sz w:val="24"/>
                <w:szCs w:val="24"/>
              </w:rPr>
              <w:t>s</w:t>
            </w:r>
            <w:r w:rsidRPr="00424692">
              <w:rPr>
                <w:bCs/>
                <w:sz w:val="24"/>
                <w:szCs w:val="24"/>
              </w:rPr>
              <w:t>tage</w:t>
            </w:r>
          </w:p>
        </w:tc>
        <w:tc>
          <w:tcPr>
            <w:tcW w:w="852" w:type="pct"/>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55D2CD9" w14:textId="510EB9F3" w:rsidR="00F4712C" w:rsidRPr="00424692" w:rsidRDefault="00F4712C" w:rsidP="00F4712C">
            <w:pPr>
              <w:ind w:left="2" w:hanging="2"/>
              <w:contextualSpacing/>
              <w:jc w:val="center"/>
              <w:rPr>
                <w:bCs/>
                <w:sz w:val="24"/>
                <w:szCs w:val="24"/>
              </w:rPr>
            </w:pPr>
            <w:r w:rsidRPr="00424692">
              <w:rPr>
                <w:bCs/>
                <w:sz w:val="24"/>
                <w:szCs w:val="24"/>
              </w:rPr>
              <w:t xml:space="preserve">Epithelial </w:t>
            </w:r>
            <w:r w:rsidR="008A28B5" w:rsidRPr="00424692">
              <w:rPr>
                <w:bCs/>
                <w:sz w:val="24"/>
                <w:szCs w:val="24"/>
              </w:rPr>
              <w:t>ovarian cancer (not classified)</w:t>
            </w:r>
          </w:p>
        </w:tc>
      </w:tr>
    </w:tbl>
    <w:p w14:paraId="77F885C8" w14:textId="299C90A9" w:rsidR="008A28B5" w:rsidRPr="00424692" w:rsidRDefault="00986B31" w:rsidP="00C338D8">
      <w:pPr>
        <w:pStyle w:val="BodyText"/>
        <w:spacing w:before="52"/>
        <w:ind w:right="4"/>
        <w:sectPr w:rsidR="008A28B5" w:rsidRPr="00424692" w:rsidSect="008A28B5">
          <w:pgSz w:w="15840" w:h="12240" w:orient="landscape"/>
          <w:pgMar w:top="1440" w:right="1440" w:bottom="1440" w:left="1440" w:header="720" w:footer="720" w:gutter="0"/>
          <w:cols w:space="720"/>
          <w:titlePg/>
          <w:docGrid w:linePitch="299"/>
        </w:sectPr>
      </w:pPr>
      <w:r w:rsidRPr="00424692">
        <w:t>FIGO=The International Federation of Gynecology and Obstetrics; HGSC=high-grade serous carcinoma; HGSOC=high-grade serous ovarian cancer; LGSOC=low-grade serous ovarian cancer; NA=not available; NACT=neoadjuvant chemotherapy; NLR=neutrophil-to-lymphocyte ratio; OS=overall survival; PFS=progression-free survival; SD=standard deviation</w:t>
      </w:r>
    </w:p>
    <w:p w14:paraId="5C83BDDB" w14:textId="77777777" w:rsidR="00CD4A51" w:rsidRPr="00424692" w:rsidRDefault="00CD4A51" w:rsidP="00292D74">
      <w:pPr>
        <w:ind w:left="2" w:hanging="2"/>
        <w:jc w:val="center"/>
        <w:rPr>
          <w:sz w:val="24"/>
        </w:rPr>
      </w:pPr>
      <w:r w:rsidRPr="00424692">
        <w:rPr>
          <w:noProof/>
          <w:sz w:val="24"/>
        </w:rPr>
        <w:lastRenderedPageBreak/>
        <w:drawing>
          <wp:inline distT="114300" distB="114300" distL="114300" distR="114300" wp14:anchorId="307974EC" wp14:editId="3E873F1A">
            <wp:extent cx="4457700" cy="2938980"/>
            <wp:effectExtent l="0" t="0" r="0" b="0"/>
            <wp:docPr id="213338698" name="Picture 21333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4466734" cy="2944936"/>
                    </a:xfrm>
                    <a:prstGeom prst="rect">
                      <a:avLst/>
                    </a:prstGeom>
                    <a:ln/>
                  </pic:spPr>
                </pic:pic>
              </a:graphicData>
            </a:graphic>
          </wp:inline>
        </w:drawing>
      </w:r>
    </w:p>
    <w:p w14:paraId="4517579F" w14:textId="2529C3F0" w:rsidR="00CD4A51" w:rsidRPr="00424692" w:rsidRDefault="00CD4A51" w:rsidP="00292D74">
      <w:pPr>
        <w:spacing w:before="240" w:line="480" w:lineRule="auto"/>
        <w:ind w:left="2" w:hanging="2"/>
        <w:jc w:val="both"/>
        <w:rPr>
          <w:sz w:val="24"/>
        </w:rPr>
      </w:pPr>
      <w:r w:rsidRPr="00424692">
        <w:rPr>
          <w:b/>
          <w:sz w:val="24"/>
        </w:rPr>
        <w:t xml:space="preserve">Figure S1. </w:t>
      </w:r>
      <w:r w:rsidRPr="00424692">
        <w:rPr>
          <w:sz w:val="24"/>
        </w:rPr>
        <w:t xml:space="preserve">Forest plots showing HR of </w:t>
      </w:r>
      <w:r w:rsidR="00292D74">
        <w:rPr>
          <w:sz w:val="24"/>
        </w:rPr>
        <w:t>OS</w:t>
      </w:r>
      <w:r w:rsidRPr="00424692">
        <w:rPr>
          <w:sz w:val="24"/>
        </w:rPr>
        <w:t xml:space="preserve"> in multivariate analysis for NLR in subgroup analysis based on treatment specific including surgery. </w:t>
      </w:r>
      <w:r w:rsidR="00292D74">
        <w:rPr>
          <w:sz w:val="24"/>
        </w:rPr>
        <w:t xml:space="preserve">CI=confidence interval; </w:t>
      </w:r>
      <w:r w:rsidRPr="00424692">
        <w:rPr>
          <w:sz w:val="24"/>
        </w:rPr>
        <w:t>HR=hazard ratio; NLR=neutrophil-to-lymphocyte ratio</w:t>
      </w:r>
      <w:r w:rsidR="00292D74">
        <w:rPr>
          <w:sz w:val="24"/>
        </w:rPr>
        <w:t>; OS=overall survival; SE=standard error</w:t>
      </w:r>
    </w:p>
    <w:p w14:paraId="2B89392B" w14:textId="77777777" w:rsidR="00CD4A51" w:rsidRPr="00424692" w:rsidRDefault="00CD4A51" w:rsidP="00CD4A51">
      <w:pPr>
        <w:tabs>
          <w:tab w:val="center" w:pos="4509"/>
        </w:tabs>
        <w:ind w:left="2" w:hanging="2"/>
        <w:jc w:val="both"/>
        <w:rPr>
          <w:sz w:val="24"/>
        </w:rPr>
      </w:pPr>
    </w:p>
    <w:p w14:paraId="4A62E842" w14:textId="77777777" w:rsidR="00CD4A51" w:rsidRPr="00424692" w:rsidRDefault="00CD4A51" w:rsidP="00292D74">
      <w:pPr>
        <w:ind w:left="2" w:hanging="2"/>
        <w:jc w:val="center"/>
        <w:rPr>
          <w:sz w:val="24"/>
        </w:rPr>
      </w:pPr>
      <w:r w:rsidRPr="00424692">
        <w:rPr>
          <w:noProof/>
          <w:sz w:val="24"/>
        </w:rPr>
        <w:drawing>
          <wp:inline distT="114300" distB="114300" distL="114300" distR="114300" wp14:anchorId="658C9937" wp14:editId="5DDECBD7">
            <wp:extent cx="4621743" cy="2628900"/>
            <wp:effectExtent l="0" t="0" r="7620" b="0"/>
            <wp:docPr id="390695793" name="Picture 39069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4641699" cy="2640251"/>
                    </a:xfrm>
                    <a:prstGeom prst="rect">
                      <a:avLst/>
                    </a:prstGeom>
                    <a:ln/>
                  </pic:spPr>
                </pic:pic>
              </a:graphicData>
            </a:graphic>
          </wp:inline>
        </w:drawing>
      </w:r>
    </w:p>
    <w:p w14:paraId="7EFEA7BC" w14:textId="1DBF3C7A" w:rsidR="00292D74" w:rsidRPr="00424692" w:rsidRDefault="00CD4A51" w:rsidP="00292D74">
      <w:pPr>
        <w:spacing w:before="240" w:line="480" w:lineRule="auto"/>
        <w:ind w:left="2" w:hanging="2"/>
        <w:jc w:val="both"/>
        <w:rPr>
          <w:sz w:val="24"/>
        </w:rPr>
      </w:pPr>
      <w:r w:rsidRPr="00424692">
        <w:rPr>
          <w:b/>
          <w:sz w:val="24"/>
        </w:rPr>
        <w:t>Figure S2.</w:t>
      </w:r>
      <w:r w:rsidRPr="00424692">
        <w:rPr>
          <w:sz w:val="24"/>
        </w:rPr>
        <w:t xml:space="preserve"> Forest plots showing HR of </w:t>
      </w:r>
      <w:r w:rsidR="00292D74">
        <w:rPr>
          <w:sz w:val="24"/>
        </w:rPr>
        <w:t>PFS</w:t>
      </w:r>
      <w:r w:rsidRPr="00424692">
        <w:rPr>
          <w:sz w:val="24"/>
        </w:rPr>
        <w:t xml:space="preserve"> in multivariate analysis for NLR in subgroup analysis based on treatment specific including surgery. </w:t>
      </w:r>
      <w:r w:rsidR="00292D74">
        <w:rPr>
          <w:sz w:val="24"/>
        </w:rPr>
        <w:t xml:space="preserve">CI=confidence interval; </w:t>
      </w:r>
      <w:r w:rsidRPr="00424692">
        <w:rPr>
          <w:sz w:val="24"/>
        </w:rPr>
        <w:t>HR=hazard ratio; NLR=neutrophil-to-lymphocyte ratio</w:t>
      </w:r>
      <w:r w:rsidR="00292D74">
        <w:rPr>
          <w:sz w:val="24"/>
        </w:rPr>
        <w:t>; PFS=progression-free survival; SE=standard error</w:t>
      </w:r>
    </w:p>
    <w:p w14:paraId="4F750A50" w14:textId="0A75CD50" w:rsidR="00CD4A51" w:rsidRPr="00424692" w:rsidRDefault="00CD4A51" w:rsidP="00CD4A51">
      <w:pPr>
        <w:tabs>
          <w:tab w:val="center" w:pos="4509"/>
        </w:tabs>
        <w:ind w:left="2" w:hanging="2"/>
        <w:jc w:val="both"/>
        <w:rPr>
          <w:sz w:val="24"/>
        </w:rPr>
      </w:pPr>
    </w:p>
    <w:p w14:paraId="58196CD6" w14:textId="77777777" w:rsidR="00CD4A51" w:rsidRPr="00424692" w:rsidRDefault="00CD4A51" w:rsidP="00292D74">
      <w:pPr>
        <w:ind w:left="2" w:hanging="2"/>
        <w:jc w:val="center"/>
        <w:rPr>
          <w:sz w:val="24"/>
        </w:rPr>
      </w:pPr>
      <w:r w:rsidRPr="00424692">
        <w:rPr>
          <w:noProof/>
          <w:sz w:val="24"/>
        </w:rPr>
        <w:drawing>
          <wp:inline distT="114300" distB="114300" distL="114300" distR="114300" wp14:anchorId="473ED06B" wp14:editId="4FCE867E">
            <wp:extent cx="5040000" cy="2084953"/>
            <wp:effectExtent l="0" t="0" r="1905" b="0"/>
            <wp:docPr id="2108609552" name="Picture 210860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5040000" cy="2084953"/>
                    </a:xfrm>
                    <a:prstGeom prst="rect">
                      <a:avLst/>
                    </a:prstGeom>
                    <a:ln/>
                  </pic:spPr>
                </pic:pic>
              </a:graphicData>
            </a:graphic>
          </wp:inline>
        </w:drawing>
      </w:r>
    </w:p>
    <w:p w14:paraId="62713C69" w14:textId="5E1BD5D7" w:rsidR="00CD4A51" w:rsidRPr="00424692" w:rsidRDefault="00CD4A51" w:rsidP="00610B7B">
      <w:pPr>
        <w:tabs>
          <w:tab w:val="center" w:pos="4509"/>
        </w:tabs>
        <w:spacing w:before="240" w:line="480" w:lineRule="auto"/>
        <w:ind w:left="2" w:hanging="2"/>
        <w:jc w:val="both"/>
        <w:rPr>
          <w:sz w:val="24"/>
        </w:rPr>
      </w:pPr>
      <w:r w:rsidRPr="00424692">
        <w:rPr>
          <w:b/>
          <w:sz w:val="24"/>
        </w:rPr>
        <w:t>Figure S3.</w:t>
      </w:r>
      <w:r w:rsidRPr="00424692">
        <w:rPr>
          <w:sz w:val="24"/>
        </w:rPr>
        <w:t xml:space="preserve"> Forest plots showing HR of </w:t>
      </w:r>
      <w:r w:rsidR="00292D74">
        <w:rPr>
          <w:sz w:val="24"/>
        </w:rPr>
        <w:t>OS</w:t>
      </w:r>
      <w:r w:rsidRPr="00424692">
        <w:rPr>
          <w:sz w:val="24"/>
        </w:rPr>
        <w:t xml:space="preserve"> in multivariate analysis for fibrinogen in subgroup analysis based on treatment specific including surgery</w:t>
      </w:r>
      <w:r w:rsidR="00292D74">
        <w:rPr>
          <w:sz w:val="24"/>
        </w:rPr>
        <w:t xml:space="preserve">. CI=confidence interval; </w:t>
      </w:r>
      <w:r w:rsidR="00292D74" w:rsidRPr="00424692">
        <w:rPr>
          <w:sz w:val="24"/>
        </w:rPr>
        <w:t xml:space="preserve">HR=hazard ratio; </w:t>
      </w:r>
      <w:r w:rsidR="00292D74">
        <w:rPr>
          <w:sz w:val="24"/>
        </w:rPr>
        <w:t>OS=overall survival; SE=standard error</w:t>
      </w:r>
    </w:p>
    <w:p w14:paraId="2D276CDA" w14:textId="77777777" w:rsidR="00CD4A51" w:rsidRPr="00424692" w:rsidRDefault="00CD4A51" w:rsidP="00CD4A51">
      <w:pPr>
        <w:tabs>
          <w:tab w:val="center" w:pos="4509"/>
        </w:tabs>
        <w:ind w:left="2" w:hanging="2"/>
        <w:jc w:val="both"/>
        <w:rPr>
          <w:sz w:val="24"/>
        </w:rPr>
      </w:pPr>
    </w:p>
    <w:p w14:paraId="5C879F77" w14:textId="77777777" w:rsidR="00CD4A51" w:rsidRPr="00424692" w:rsidRDefault="00CD4A51" w:rsidP="00292D74">
      <w:pPr>
        <w:ind w:left="2" w:hanging="2"/>
        <w:jc w:val="center"/>
        <w:rPr>
          <w:sz w:val="24"/>
        </w:rPr>
      </w:pPr>
      <w:r w:rsidRPr="00424692">
        <w:rPr>
          <w:noProof/>
          <w:sz w:val="24"/>
        </w:rPr>
        <w:drawing>
          <wp:inline distT="114300" distB="114300" distL="114300" distR="114300" wp14:anchorId="410A5FA6" wp14:editId="46042EE8">
            <wp:extent cx="5040000" cy="1476842"/>
            <wp:effectExtent l="0" t="0" r="1905" b="0"/>
            <wp:docPr id="132089977" name="Picture 132089977" descr="A close-up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9977" name="Picture 132089977" descr="A close-up of a receipt&#10;&#10;Description automatically generated"/>
                    <pic:cNvPicPr preferRelativeResize="0"/>
                  </pic:nvPicPr>
                  <pic:blipFill>
                    <a:blip r:embed="rId13"/>
                    <a:srcRect/>
                    <a:stretch>
                      <a:fillRect/>
                    </a:stretch>
                  </pic:blipFill>
                  <pic:spPr>
                    <a:xfrm>
                      <a:off x="0" y="0"/>
                      <a:ext cx="5040000" cy="1476842"/>
                    </a:xfrm>
                    <a:prstGeom prst="rect">
                      <a:avLst/>
                    </a:prstGeom>
                    <a:ln/>
                  </pic:spPr>
                </pic:pic>
              </a:graphicData>
            </a:graphic>
          </wp:inline>
        </w:drawing>
      </w:r>
    </w:p>
    <w:p w14:paraId="59FD81E1" w14:textId="6AB78859" w:rsidR="00292D74" w:rsidRDefault="00CD4A51" w:rsidP="00610B7B">
      <w:pPr>
        <w:tabs>
          <w:tab w:val="center" w:pos="4509"/>
        </w:tabs>
        <w:spacing w:before="240" w:line="480" w:lineRule="auto"/>
        <w:ind w:left="2" w:hanging="2"/>
        <w:jc w:val="both"/>
        <w:rPr>
          <w:sz w:val="24"/>
        </w:rPr>
      </w:pPr>
      <w:r w:rsidRPr="00424692">
        <w:rPr>
          <w:b/>
          <w:sz w:val="24"/>
        </w:rPr>
        <w:t>Figure S4.</w:t>
      </w:r>
      <w:r w:rsidRPr="00424692">
        <w:rPr>
          <w:sz w:val="24"/>
        </w:rPr>
        <w:t xml:space="preserve"> Forest plots showing HR of </w:t>
      </w:r>
      <w:r w:rsidR="00292D74">
        <w:rPr>
          <w:sz w:val="24"/>
        </w:rPr>
        <w:t>PFS</w:t>
      </w:r>
      <w:r w:rsidRPr="00424692">
        <w:rPr>
          <w:sz w:val="24"/>
        </w:rPr>
        <w:t xml:space="preserve"> in multivariate analysis for fibrinogen in subgroup analysis based on treatment specific including surgery</w:t>
      </w:r>
      <w:r w:rsidR="00292D74">
        <w:rPr>
          <w:sz w:val="24"/>
        </w:rPr>
        <w:t xml:space="preserve">. CI=confidence interval; </w:t>
      </w:r>
      <w:r w:rsidR="00292D74" w:rsidRPr="00424692">
        <w:rPr>
          <w:sz w:val="24"/>
        </w:rPr>
        <w:t xml:space="preserve">HR=hazard ratio; </w:t>
      </w:r>
      <w:r w:rsidR="00610B7B">
        <w:rPr>
          <w:sz w:val="24"/>
        </w:rPr>
        <w:t xml:space="preserve">PFS=progression-free survival; </w:t>
      </w:r>
      <w:r w:rsidR="00292D74">
        <w:rPr>
          <w:sz w:val="24"/>
        </w:rPr>
        <w:t>SE=standard error</w:t>
      </w:r>
    </w:p>
    <w:p w14:paraId="354FA960" w14:textId="77777777" w:rsidR="00292D74" w:rsidRDefault="00292D74">
      <w:pPr>
        <w:rPr>
          <w:sz w:val="24"/>
        </w:rPr>
      </w:pPr>
      <w:r>
        <w:rPr>
          <w:sz w:val="24"/>
        </w:rPr>
        <w:br w:type="page"/>
      </w:r>
    </w:p>
    <w:p w14:paraId="7481ADEF" w14:textId="77777777" w:rsidR="00CD4A51" w:rsidRPr="00424692" w:rsidRDefault="00CD4A51" w:rsidP="00292D74">
      <w:pPr>
        <w:ind w:left="2" w:hanging="2"/>
        <w:jc w:val="center"/>
        <w:rPr>
          <w:sz w:val="24"/>
        </w:rPr>
      </w:pPr>
      <w:r w:rsidRPr="00424692">
        <w:rPr>
          <w:noProof/>
          <w:sz w:val="24"/>
        </w:rPr>
        <w:lastRenderedPageBreak/>
        <w:drawing>
          <wp:inline distT="0" distB="0" distL="0" distR="0" wp14:anchorId="29885EB0" wp14:editId="37FFA591">
            <wp:extent cx="4320000" cy="2870842"/>
            <wp:effectExtent l="0" t="0" r="0" b="0"/>
            <wp:docPr id="1373210425" name="Picture 137321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LR_OS_Multivaria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870842"/>
                    </a:xfrm>
                    <a:prstGeom prst="rect">
                      <a:avLst/>
                    </a:prstGeom>
                  </pic:spPr>
                </pic:pic>
              </a:graphicData>
            </a:graphic>
          </wp:inline>
        </w:drawing>
      </w:r>
    </w:p>
    <w:p w14:paraId="2DFAA0BD" w14:textId="77777777" w:rsidR="00CD4A51" w:rsidRPr="00424692" w:rsidRDefault="00CD4A51" w:rsidP="00610B7B">
      <w:pPr>
        <w:spacing w:before="240" w:line="480" w:lineRule="auto"/>
        <w:ind w:left="2" w:hanging="2"/>
        <w:jc w:val="both"/>
        <w:rPr>
          <w:sz w:val="24"/>
        </w:rPr>
      </w:pPr>
      <w:r w:rsidRPr="00424692">
        <w:rPr>
          <w:b/>
          <w:sz w:val="24"/>
        </w:rPr>
        <w:t>Figure S5</w:t>
      </w:r>
      <w:r w:rsidRPr="00424692">
        <w:rPr>
          <w:sz w:val="24"/>
        </w:rPr>
        <w:t>. Funnel plots of HR of NLR according to the OS in multivariate analyses (horizontal axis) and the SE for the HR (vertical axis). HR=</w:t>
      </w:r>
      <w:r w:rsidRPr="00424692">
        <w:rPr>
          <w:color w:val="000000"/>
          <w:sz w:val="24"/>
        </w:rPr>
        <w:t>hazard ratio</w:t>
      </w:r>
      <w:r w:rsidRPr="00424692">
        <w:rPr>
          <w:sz w:val="24"/>
        </w:rPr>
        <w:t>; NLR=neutrophil-to-lymphocyte ratio; OS=</w:t>
      </w:r>
      <w:r w:rsidRPr="00424692">
        <w:rPr>
          <w:color w:val="000000"/>
          <w:sz w:val="24"/>
        </w:rPr>
        <w:t>overall survival; SE=standard error</w:t>
      </w:r>
    </w:p>
    <w:p w14:paraId="02F53055" w14:textId="77777777" w:rsidR="00CD4A51" w:rsidRPr="00424692" w:rsidRDefault="00CD4A51" w:rsidP="00CD4A51">
      <w:pPr>
        <w:ind w:left="2" w:hanging="2"/>
        <w:jc w:val="both"/>
        <w:rPr>
          <w:sz w:val="24"/>
        </w:rPr>
      </w:pPr>
    </w:p>
    <w:p w14:paraId="134BCCCD" w14:textId="77777777" w:rsidR="00CD4A51" w:rsidRPr="00424692" w:rsidRDefault="00CD4A51" w:rsidP="00292D74">
      <w:pPr>
        <w:ind w:left="2" w:hanging="2"/>
        <w:jc w:val="center"/>
        <w:rPr>
          <w:b/>
          <w:sz w:val="24"/>
        </w:rPr>
      </w:pPr>
      <w:r w:rsidRPr="00424692">
        <w:rPr>
          <w:b/>
          <w:noProof/>
          <w:sz w:val="24"/>
        </w:rPr>
        <w:drawing>
          <wp:inline distT="0" distB="0" distL="0" distR="0" wp14:anchorId="32E2CECC" wp14:editId="1F8121F0">
            <wp:extent cx="3786188" cy="2516099"/>
            <wp:effectExtent l="0" t="0" r="5080" b="0"/>
            <wp:docPr id="183337076" name="Picture 18333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R_PFS_Multivaria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90253" cy="2518800"/>
                    </a:xfrm>
                    <a:prstGeom prst="rect">
                      <a:avLst/>
                    </a:prstGeom>
                  </pic:spPr>
                </pic:pic>
              </a:graphicData>
            </a:graphic>
          </wp:inline>
        </w:drawing>
      </w:r>
    </w:p>
    <w:p w14:paraId="5DFC967C" w14:textId="7632BDF7" w:rsidR="00610B7B" w:rsidRDefault="00CD4A51" w:rsidP="00610B7B">
      <w:pPr>
        <w:spacing w:before="240" w:line="480" w:lineRule="auto"/>
        <w:ind w:left="2" w:hanging="2"/>
        <w:jc w:val="both"/>
        <w:rPr>
          <w:color w:val="000000"/>
          <w:sz w:val="24"/>
        </w:rPr>
      </w:pPr>
      <w:r w:rsidRPr="00424692">
        <w:rPr>
          <w:b/>
          <w:sz w:val="24"/>
        </w:rPr>
        <w:t>Figure S6</w:t>
      </w:r>
      <w:r w:rsidRPr="00424692">
        <w:rPr>
          <w:sz w:val="24"/>
        </w:rPr>
        <w:t>. Funnel plots of HR of NLR according to the PFS in multivariate analyses (horizontal axis) and the SE for the HR (vertical axis). HR=</w:t>
      </w:r>
      <w:r w:rsidRPr="00424692">
        <w:rPr>
          <w:color w:val="000000"/>
          <w:sz w:val="24"/>
        </w:rPr>
        <w:t>hazard ratio</w:t>
      </w:r>
      <w:r w:rsidRPr="00424692">
        <w:rPr>
          <w:sz w:val="24"/>
        </w:rPr>
        <w:t>; NLR=neutrophil-to-lymphocyte ratio; PFS=</w:t>
      </w:r>
      <w:r w:rsidRPr="00424692">
        <w:rPr>
          <w:color w:val="000000"/>
          <w:sz w:val="24"/>
        </w:rPr>
        <w:t>progression-free survival; SE=standard error</w:t>
      </w:r>
    </w:p>
    <w:p w14:paraId="13AEAB84" w14:textId="77777777" w:rsidR="00610B7B" w:rsidRDefault="00610B7B">
      <w:pPr>
        <w:rPr>
          <w:color w:val="000000"/>
          <w:sz w:val="24"/>
        </w:rPr>
      </w:pPr>
      <w:r>
        <w:rPr>
          <w:color w:val="000000"/>
          <w:sz w:val="24"/>
        </w:rPr>
        <w:br w:type="page"/>
      </w:r>
    </w:p>
    <w:p w14:paraId="539568C0" w14:textId="77777777" w:rsidR="00CD4A51" w:rsidRPr="00424692" w:rsidRDefault="00CD4A51" w:rsidP="00292D74">
      <w:pPr>
        <w:ind w:left="2" w:hanging="2"/>
        <w:jc w:val="center"/>
        <w:rPr>
          <w:sz w:val="24"/>
        </w:rPr>
      </w:pPr>
      <w:r w:rsidRPr="00424692">
        <w:rPr>
          <w:noProof/>
          <w:sz w:val="24"/>
        </w:rPr>
        <w:lastRenderedPageBreak/>
        <w:drawing>
          <wp:inline distT="0" distB="0" distL="0" distR="0" wp14:anchorId="0475D3C8" wp14:editId="6AE2F295">
            <wp:extent cx="4320000" cy="2870842"/>
            <wp:effectExtent l="0" t="0" r="0" b="0"/>
            <wp:docPr id="1437600890" name="Picture 143760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brinogen_OS_Multivaria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0000" cy="2870842"/>
                    </a:xfrm>
                    <a:prstGeom prst="rect">
                      <a:avLst/>
                    </a:prstGeom>
                  </pic:spPr>
                </pic:pic>
              </a:graphicData>
            </a:graphic>
          </wp:inline>
        </w:drawing>
      </w:r>
    </w:p>
    <w:p w14:paraId="59919EC5" w14:textId="4AE5DA82" w:rsidR="00095EFE" w:rsidRDefault="00CD4A51" w:rsidP="00610B7B">
      <w:pPr>
        <w:spacing w:before="240" w:line="480" w:lineRule="auto"/>
        <w:ind w:left="2" w:hangingChars="1" w:hanging="2"/>
        <w:jc w:val="both"/>
        <w:rPr>
          <w:color w:val="000000"/>
          <w:sz w:val="24"/>
        </w:rPr>
      </w:pPr>
      <w:r w:rsidRPr="00424692">
        <w:rPr>
          <w:b/>
          <w:sz w:val="24"/>
        </w:rPr>
        <w:t>Figure S7</w:t>
      </w:r>
      <w:r w:rsidRPr="00424692">
        <w:rPr>
          <w:sz w:val="24"/>
        </w:rPr>
        <w:t>. Funnel plots of HR of plasma fibrinogen according to the OS in multivariate analyses (horizontal axis) and the SE for the HR (vertical axis). HR=</w:t>
      </w:r>
      <w:r w:rsidRPr="00424692">
        <w:rPr>
          <w:color w:val="000000"/>
          <w:sz w:val="24"/>
        </w:rPr>
        <w:t>hazard ratio</w:t>
      </w:r>
      <w:r w:rsidRPr="00424692">
        <w:rPr>
          <w:sz w:val="24"/>
        </w:rPr>
        <w:t>; NLR=neutrophil-to-lymphocyte ratio; OS=</w:t>
      </w:r>
      <w:r w:rsidRPr="00424692">
        <w:rPr>
          <w:color w:val="000000"/>
          <w:sz w:val="24"/>
        </w:rPr>
        <w:t>overall survival; SE=standard error</w:t>
      </w:r>
    </w:p>
    <w:p w14:paraId="6EFC9C0B" w14:textId="77777777" w:rsidR="00095EFE" w:rsidRDefault="00095EFE">
      <w:pPr>
        <w:rPr>
          <w:color w:val="000000"/>
          <w:sz w:val="24"/>
        </w:rPr>
      </w:pPr>
      <w:r>
        <w:rPr>
          <w:color w:val="000000"/>
          <w:sz w:val="24"/>
        </w:rPr>
        <w:br w:type="page"/>
      </w:r>
    </w:p>
    <w:p w14:paraId="51AA42D3" w14:textId="7247284E" w:rsidR="00095EFE" w:rsidRDefault="00095EFE" w:rsidP="00610B7B">
      <w:pPr>
        <w:ind w:left="2" w:hangingChars="1" w:hanging="2"/>
        <w:jc w:val="both"/>
        <w:rPr>
          <w:b/>
          <w:bCs/>
          <w:sz w:val="24"/>
        </w:rPr>
      </w:pPr>
      <w:r w:rsidRPr="00095EFE">
        <w:rPr>
          <w:b/>
          <w:bCs/>
          <w:sz w:val="24"/>
        </w:rPr>
        <w:lastRenderedPageBreak/>
        <w:t>References</w:t>
      </w:r>
    </w:p>
    <w:p w14:paraId="279F587C" w14:textId="77777777"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Henriksen JR, Nederby L, Donskov F, Waldstrøm M, Adimi P, Jakobsen A, et al. Prognostic significance of baseline T cells, B cells and neutrophil-lymphocyte ratio (NLR) in recurrent ovarian cancer treated with chemotherapy. J Ovarian Res. 2020;13(1):59.</w:t>
      </w:r>
    </w:p>
    <w:p w14:paraId="27125C53" w14:textId="142F5732"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Marchetti C, </w:t>
      </w:r>
      <w:proofErr w:type="spellStart"/>
      <w:r w:rsidRPr="00095EFE">
        <w:rPr>
          <w:sz w:val="24"/>
        </w:rPr>
        <w:t>D'Indinosante</w:t>
      </w:r>
      <w:proofErr w:type="spellEnd"/>
      <w:r w:rsidRPr="00095EFE">
        <w:rPr>
          <w:sz w:val="24"/>
        </w:rPr>
        <w:t xml:space="preserve"> M, Bottoni C, Di </w:t>
      </w:r>
      <w:proofErr w:type="spellStart"/>
      <w:r w:rsidRPr="00095EFE">
        <w:rPr>
          <w:sz w:val="24"/>
        </w:rPr>
        <w:t>Ilio</w:t>
      </w:r>
      <w:proofErr w:type="spellEnd"/>
      <w:r w:rsidRPr="00095EFE">
        <w:rPr>
          <w:sz w:val="24"/>
        </w:rPr>
        <w:t xml:space="preserve"> C, Di Berardino S, Costantini B, et al. NLR and BRCA mutational status in patients with high grade serous advanced ovarian cancer. Sci Rep. 2021;11(1):11125.</w:t>
      </w:r>
    </w:p>
    <w:p w14:paraId="4DDC57A2" w14:textId="7B01AB0C" w:rsidR="00095EFE" w:rsidRDefault="00095EFE" w:rsidP="00610B7B">
      <w:pPr>
        <w:pStyle w:val="ListParagraph"/>
        <w:numPr>
          <w:ilvl w:val="0"/>
          <w:numId w:val="9"/>
        </w:numPr>
        <w:spacing w:line="480" w:lineRule="auto"/>
        <w:ind w:left="426" w:hanging="426"/>
        <w:jc w:val="both"/>
        <w:rPr>
          <w:sz w:val="24"/>
        </w:rPr>
      </w:pPr>
      <w:r w:rsidRPr="00095EFE">
        <w:rPr>
          <w:sz w:val="24"/>
        </w:rPr>
        <w:t xml:space="preserve">Asher V, Lee J, </w:t>
      </w:r>
      <w:proofErr w:type="spellStart"/>
      <w:r w:rsidRPr="00095EFE">
        <w:rPr>
          <w:sz w:val="24"/>
        </w:rPr>
        <w:t>Innamaa</w:t>
      </w:r>
      <w:proofErr w:type="spellEnd"/>
      <w:r w:rsidRPr="00095EFE">
        <w:rPr>
          <w:sz w:val="24"/>
        </w:rPr>
        <w:t xml:space="preserve"> A, Bali A. Preoperative platelet lymphocyte ratio as an independent prognostic marker in ovarian cancer. Clin </w:t>
      </w:r>
      <w:proofErr w:type="spellStart"/>
      <w:r w:rsidRPr="00095EFE">
        <w:rPr>
          <w:sz w:val="24"/>
        </w:rPr>
        <w:t>Transl</w:t>
      </w:r>
      <w:proofErr w:type="spellEnd"/>
      <w:r w:rsidRPr="00095EFE">
        <w:rPr>
          <w:sz w:val="24"/>
        </w:rPr>
        <w:t xml:space="preserve"> Oncol. 2011;13(7):499–503.</w:t>
      </w:r>
    </w:p>
    <w:p w14:paraId="4993B811" w14:textId="1167E7B9" w:rsidR="00095EFE" w:rsidRPr="00095EFE" w:rsidRDefault="00095EFE" w:rsidP="00610B7B">
      <w:pPr>
        <w:pStyle w:val="ListParagraph"/>
        <w:numPr>
          <w:ilvl w:val="0"/>
          <w:numId w:val="9"/>
        </w:numPr>
        <w:spacing w:line="480" w:lineRule="auto"/>
        <w:ind w:left="426" w:hanging="426"/>
        <w:jc w:val="both"/>
        <w:rPr>
          <w:sz w:val="24"/>
        </w:rPr>
      </w:pPr>
      <w:r w:rsidRPr="00D3040E">
        <w:rPr>
          <w:bCs/>
          <w:color w:val="000000" w:themeColor="text1"/>
          <w:sz w:val="24"/>
        </w:rPr>
        <w:t xml:space="preserve">Komura N, Mabuchi S, Yokoi E, </w:t>
      </w:r>
      <w:proofErr w:type="spellStart"/>
      <w:r w:rsidRPr="00D3040E">
        <w:rPr>
          <w:bCs/>
          <w:color w:val="000000" w:themeColor="text1"/>
          <w:sz w:val="24"/>
        </w:rPr>
        <w:t>Kozasa</w:t>
      </w:r>
      <w:proofErr w:type="spellEnd"/>
      <w:r w:rsidRPr="00D3040E">
        <w:rPr>
          <w:bCs/>
          <w:color w:val="000000" w:themeColor="text1"/>
          <w:sz w:val="24"/>
        </w:rPr>
        <w:t xml:space="preserve"> K, Kuroda H, Sasano T, </w:t>
      </w:r>
      <w:r>
        <w:rPr>
          <w:bCs/>
          <w:color w:val="000000" w:themeColor="text1"/>
          <w:sz w:val="24"/>
        </w:rPr>
        <w:t>et al</w:t>
      </w:r>
      <w:r w:rsidRPr="00D3040E">
        <w:rPr>
          <w:bCs/>
          <w:color w:val="000000" w:themeColor="text1"/>
          <w:sz w:val="24"/>
        </w:rPr>
        <w:t>. Comparison of clinical utility between neutrophil count and neutrophil-lymphocyte ratio in patients with ovarian cancer: a single institutional experience and a literature review. Int J Clin Oncol. 2018;23(1):104</w:t>
      </w:r>
      <w:r>
        <w:rPr>
          <w:bCs/>
          <w:color w:val="000000" w:themeColor="text1"/>
          <w:sz w:val="24"/>
        </w:rPr>
        <w:t>–</w:t>
      </w:r>
      <w:r w:rsidRPr="00D3040E">
        <w:rPr>
          <w:bCs/>
          <w:color w:val="000000" w:themeColor="text1"/>
          <w:sz w:val="24"/>
        </w:rPr>
        <w:t>13.</w:t>
      </w:r>
    </w:p>
    <w:p w14:paraId="772B608A" w14:textId="7D54319C" w:rsidR="00095EFE" w:rsidRPr="00095EFE" w:rsidRDefault="00095EFE" w:rsidP="00610B7B">
      <w:pPr>
        <w:pStyle w:val="ListParagraph"/>
        <w:numPr>
          <w:ilvl w:val="0"/>
          <w:numId w:val="9"/>
        </w:numPr>
        <w:spacing w:line="480" w:lineRule="auto"/>
        <w:ind w:left="426" w:hanging="426"/>
        <w:jc w:val="both"/>
        <w:rPr>
          <w:sz w:val="24"/>
        </w:rPr>
      </w:pPr>
      <w:r w:rsidRPr="00D3040E">
        <w:rPr>
          <w:bCs/>
          <w:color w:val="000000" w:themeColor="text1"/>
          <w:sz w:val="24"/>
        </w:rPr>
        <w:t xml:space="preserve">Wang YQ, Jin C, Zheng HM, Zhou K, Shi BB, Zhang Q, </w:t>
      </w:r>
      <w:r>
        <w:rPr>
          <w:bCs/>
          <w:color w:val="000000" w:themeColor="text1"/>
          <w:sz w:val="24"/>
        </w:rPr>
        <w:t>et al</w:t>
      </w:r>
      <w:r w:rsidRPr="00D3040E">
        <w:rPr>
          <w:bCs/>
          <w:color w:val="000000" w:themeColor="text1"/>
          <w:sz w:val="24"/>
        </w:rPr>
        <w:t xml:space="preserve">. A novel prognostic inflammation score predicts outcomes in patients with ovarian cancer. Clin Chim Acta. </w:t>
      </w:r>
      <w:proofErr w:type="gramStart"/>
      <w:r w:rsidRPr="00D3040E">
        <w:rPr>
          <w:bCs/>
          <w:color w:val="000000" w:themeColor="text1"/>
          <w:sz w:val="24"/>
        </w:rPr>
        <w:t>2016;456:163</w:t>
      </w:r>
      <w:proofErr w:type="gramEnd"/>
      <w:r>
        <w:rPr>
          <w:bCs/>
          <w:color w:val="000000" w:themeColor="text1"/>
          <w:sz w:val="24"/>
        </w:rPr>
        <w:t>–</w:t>
      </w:r>
      <w:r w:rsidRPr="00D3040E">
        <w:rPr>
          <w:bCs/>
          <w:color w:val="000000" w:themeColor="text1"/>
          <w:sz w:val="24"/>
        </w:rPr>
        <w:t>9.</w:t>
      </w:r>
    </w:p>
    <w:p w14:paraId="27357CB6" w14:textId="1DBF96C7"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Baert T, Van Camp J, </w:t>
      </w:r>
      <w:proofErr w:type="spellStart"/>
      <w:r w:rsidRPr="00095EFE">
        <w:rPr>
          <w:sz w:val="24"/>
        </w:rPr>
        <w:t>Vanbrabant</w:t>
      </w:r>
      <w:proofErr w:type="spellEnd"/>
      <w:r w:rsidRPr="00095EFE">
        <w:rPr>
          <w:sz w:val="24"/>
        </w:rPr>
        <w:t xml:space="preserve"> L, </w:t>
      </w:r>
      <w:proofErr w:type="spellStart"/>
      <w:r w:rsidRPr="00095EFE">
        <w:rPr>
          <w:sz w:val="24"/>
        </w:rPr>
        <w:t>Busschaert</w:t>
      </w:r>
      <w:proofErr w:type="spellEnd"/>
      <w:r w:rsidRPr="00095EFE">
        <w:rPr>
          <w:sz w:val="24"/>
        </w:rPr>
        <w:t xml:space="preserve"> P, </w:t>
      </w:r>
      <w:proofErr w:type="spellStart"/>
      <w:r w:rsidRPr="00095EFE">
        <w:rPr>
          <w:sz w:val="24"/>
        </w:rPr>
        <w:t>Laenen</w:t>
      </w:r>
      <w:proofErr w:type="spellEnd"/>
      <w:r w:rsidRPr="00095EFE">
        <w:rPr>
          <w:sz w:val="24"/>
        </w:rPr>
        <w:t xml:space="preserve"> A, Han S, et al. Influence of CA125, platelet count and neutrophil to lymphocyte ratio on the immune system of ovarian cancer patients. Gynecol Oncol. 2018;150(1):31–7.</w:t>
      </w:r>
    </w:p>
    <w:p w14:paraId="49FE24C3" w14:textId="179126FA"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Miao Y, Yan Q, Li S, Li B, Feng Y. Neutrophil to lymphocyte ratio and platelet to lymphocyte ratio are predictive of chemotherapeutic response and prognosis in epithelial ovarian cancer patients treated with platinum-based chemotherapy. Cancer </w:t>
      </w:r>
      <w:proofErr w:type="spellStart"/>
      <w:r w:rsidRPr="00095EFE">
        <w:rPr>
          <w:sz w:val="24"/>
        </w:rPr>
        <w:t>Biomark</w:t>
      </w:r>
      <w:proofErr w:type="spellEnd"/>
      <w:r w:rsidRPr="00095EFE">
        <w:rPr>
          <w:sz w:val="24"/>
        </w:rPr>
        <w:t>. 2016;17(1):33–40.</w:t>
      </w:r>
    </w:p>
    <w:p w14:paraId="35D53418" w14:textId="0BC2EACF"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Zhou M, Li L, Wang X, Wang C, Wang D. Neutrophil-to-lymphocyte </w:t>
      </w:r>
      <w:proofErr w:type="gramStart"/>
      <w:r w:rsidRPr="00095EFE">
        <w:rPr>
          <w:sz w:val="24"/>
        </w:rPr>
        <w:t>ratio</w:t>
      </w:r>
      <w:proofErr w:type="gramEnd"/>
      <w:r w:rsidRPr="00095EFE">
        <w:rPr>
          <w:sz w:val="24"/>
        </w:rPr>
        <w:t xml:space="preserve"> and platelet </w:t>
      </w:r>
      <w:r w:rsidRPr="00095EFE">
        <w:rPr>
          <w:sz w:val="24"/>
        </w:rPr>
        <w:lastRenderedPageBreak/>
        <w:t xml:space="preserve">count predict long-term outcome of stage </w:t>
      </w:r>
      <w:proofErr w:type="spellStart"/>
      <w:r w:rsidRPr="00095EFE">
        <w:rPr>
          <w:sz w:val="24"/>
        </w:rPr>
        <w:t>iiic</w:t>
      </w:r>
      <w:proofErr w:type="spellEnd"/>
      <w:r w:rsidRPr="00095EFE">
        <w:rPr>
          <w:sz w:val="24"/>
        </w:rPr>
        <w:t xml:space="preserve"> epithelial ovarian cancer. Cell </w:t>
      </w:r>
      <w:proofErr w:type="spellStart"/>
      <w:r w:rsidRPr="00095EFE">
        <w:rPr>
          <w:sz w:val="24"/>
        </w:rPr>
        <w:t>Physiol</w:t>
      </w:r>
      <w:proofErr w:type="spellEnd"/>
      <w:r w:rsidRPr="00095EFE">
        <w:rPr>
          <w:sz w:val="24"/>
        </w:rPr>
        <w:t xml:space="preserve"> </w:t>
      </w:r>
      <w:proofErr w:type="spellStart"/>
      <w:r w:rsidRPr="00095EFE">
        <w:rPr>
          <w:sz w:val="24"/>
        </w:rPr>
        <w:t>Biochem</w:t>
      </w:r>
      <w:proofErr w:type="spellEnd"/>
      <w:r w:rsidRPr="00095EFE">
        <w:rPr>
          <w:sz w:val="24"/>
        </w:rPr>
        <w:t>. 2018;46(1):178–86.</w:t>
      </w:r>
    </w:p>
    <w:p w14:paraId="4F3C3BBC" w14:textId="7CBE111B" w:rsidR="00095EFE" w:rsidRPr="00095EFE" w:rsidRDefault="00095EFE" w:rsidP="00610B7B">
      <w:pPr>
        <w:pStyle w:val="ListParagraph"/>
        <w:numPr>
          <w:ilvl w:val="0"/>
          <w:numId w:val="9"/>
        </w:numPr>
        <w:spacing w:line="480" w:lineRule="auto"/>
        <w:ind w:left="426" w:hanging="426"/>
        <w:jc w:val="both"/>
        <w:rPr>
          <w:sz w:val="24"/>
        </w:rPr>
      </w:pPr>
      <w:proofErr w:type="spellStart"/>
      <w:r w:rsidRPr="00095EFE">
        <w:rPr>
          <w:sz w:val="24"/>
        </w:rPr>
        <w:t>Badora</w:t>
      </w:r>
      <w:proofErr w:type="spellEnd"/>
      <w:r w:rsidRPr="00095EFE">
        <w:rPr>
          <w:sz w:val="24"/>
        </w:rPr>
        <w:t xml:space="preserve">-Rybicka A, </w:t>
      </w:r>
      <w:proofErr w:type="spellStart"/>
      <w:r w:rsidRPr="00095EFE">
        <w:rPr>
          <w:sz w:val="24"/>
        </w:rPr>
        <w:t>Nowara</w:t>
      </w:r>
      <w:proofErr w:type="spellEnd"/>
      <w:r w:rsidRPr="00095EFE">
        <w:rPr>
          <w:sz w:val="24"/>
        </w:rPr>
        <w:t xml:space="preserve"> E, </w:t>
      </w:r>
      <w:proofErr w:type="spellStart"/>
      <w:r w:rsidRPr="00095EFE">
        <w:rPr>
          <w:sz w:val="24"/>
        </w:rPr>
        <w:t>Starzyczny</w:t>
      </w:r>
      <w:proofErr w:type="spellEnd"/>
      <w:r w:rsidRPr="00095EFE">
        <w:rPr>
          <w:sz w:val="24"/>
        </w:rPr>
        <w:t xml:space="preserve">-Słota D. Neutrophil-to-lymphocyte </w:t>
      </w:r>
      <w:proofErr w:type="gramStart"/>
      <w:r w:rsidRPr="00095EFE">
        <w:rPr>
          <w:sz w:val="24"/>
        </w:rPr>
        <w:t>ratio</w:t>
      </w:r>
      <w:proofErr w:type="gramEnd"/>
      <w:r w:rsidRPr="00095EFE">
        <w:rPr>
          <w:sz w:val="24"/>
        </w:rPr>
        <w:t xml:space="preserve"> and platelet-to-lymphocyte ratio before chemotherapy as potential prognostic factors in patients with newly diagnosed epithelial ovarian cancer. ESMO Open. 2016;1(2</w:t>
      </w:r>
      <w:proofErr w:type="gramStart"/>
      <w:r w:rsidRPr="00095EFE">
        <w:rPr>
          <w:sz w:val="24"/>
        </w:rPr>
        <w:t>):e</w:t>
      </w:r>
      <w:proofErr w:type="gramEnd"/>
      <w:r w:rsidRPr="00095EFE">
        <w:rPr>
          <w:sz w:val="24"/>
        </w:rPr>
        <w:t>000039.</w:t>
      </w:r>
    </w:p>
    <w:p w14:paraId="54CC6BEB" w14:textId="40FE63E5"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Salman L, Sabah G, Jakobson-Setton A, Raban O, </w:t>
      </w:r>
      <w:proofErr w:type="spellStart"/>
      <w:r w:rsidRPr="00095EFE">
        <w:rPr>
          <w:sz w:val="24"/>
        </w:rPr>
        <w:t>Yeoshoua</w:t>
      </w:r>
      <w:proofErr w:type="spellEnd"/>
      <w:r w:rsidRPr="00095EFE">
        <w:rPr>
          <w:sz w:val="24"/>
        </w:rPr>
        <w:t xml:space="preserve"> E, Eitan R. Neutrophil-to-lymphocyte ratio as a prognostic factor in advanced stage ovarian carcinoma treated with neoadjuvant chemotherapy. Int J </w:t>
      </w:r>
      <w:proofErr w:type="spellStart"/>
      <w:r w:rsidRPr="00095EFE">
        <w:rPr>
          <w:sz w:val="24"/>
        </w:rPr>
        <w:t>Gynaecol</w:t>
      </w:r>
      <w:proofErr w:type="spellEnd"/>
      <w:r w:rsidRPr="00095EFE">
        <w:rPr>
          <w:sz w:val="24"/>
        </w:rPr>
        <w:t xml:space="preserve"> Obstet. 2020;148(1):102–6.</w:t>
      </w:r>
    </w:p>
    <w:p w14:paraId="4155014B" w14:textId="61BB16D7" w:rsidR="00095EFE" w:rsidRPr="00095EFE" w:rsidRDefault="00095EFE" w:rsidP="00610B7B">
      <w:pPr>
        <w:pStyle w:val="ListParagraph"/>
        <w:numPr>
          <w:ilvl w:val="0"/>
          <w:numId w:val="9"/>
        </w:numPr>
        <w:spacing w:line="480" w:lineRule="auto"/>
        <w:ind w:left="426" w:hanging="426"/>
        <w:jc w:val="both"/>
        <w:rPr>
          <w:sz w:val="24"/>
        </w:rPr>
      </w:pPr>
      <w:proofErr w:type="spellStart"/>
      <w:r w:rsidRPr="00095EFE">
        <w:rPr>
          <w:sz w:val="24"/>
        </w:rPr>
        <w:t>Jeerakornpassawat</w:t>
      </w:r>
      <w:proofErr w:type="spellEnd"/>
      <w:r w:rsidRPr="00095EFE">
        <w:rPr>
          <w:sz w:val="24"/>
        </w:rPr>
        <w:t xml:space="preserve"> D, </w:t>
      </w:r>
      <w:proofErr w:type="spellStart"/>
      <w:r w:rsidRPr="00095EFE">
        <w:rPr>
          <w:sz w:val="24"/>
        </w:rPr>
        <w:t>Suprasert</w:t>
      </w:r>
      <w:proofErr w:type="spellEnd"/>
      <w:r w:rsidRPr="00095EFE">
        <w:rPr>
          <w:sz w:val="24"/>
        </w:rPr>
        <w:t xml:space="preserve"> P. Potential predictors for chemotherapeutic response and prognosis in epithelial ovarian, fallopian tube and primary peritoneal cancer patients treated with platinum-based chemotherapy. </w:t>
      </w:r>
      <w:proofErr w:type="spellStart"/>
      <w:r w:rsidRPr="00095EFE">
        <w:rPr>
          <w:sz w:val="24"/>
        </w:rPr>
        <w:t>Obstet</w:t>
      </w:r>
      <w:proofErr w:type="spellEnd"/>
      <w:r w:rsidRPr="00095EFE">
        <w:rPr>
          <w:sz w:val="24"/>
        </w:rPr>
        <w:t xml:space="preserve"> </w:t>
      </w:r>
      <w:proofErr w:type="spellStart"/>
      <w:r w:rsidRPr="00095EFE">
        <w:rPr>
          <w:sz w:val="24"/>
        </w:rPr>
        <w:t>Gynecol</w:t>
      </w:r>
      <w:proofErr w:type="spellEnd"/>
      <w:r w:rsidRPr="00095EFE">
        <w:rPr>
          <w:sz w:val="24"/>
        </w:rPr>
        <w:t xml:space="preserve"> Sci. 2020;63(1):55–63.</w:t>
      </w:r>
    </w:p>
    <w:p w14:paraId="751F7BCD" w14:textId="72F0E35B"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Cho H, Hur HW, Kim SW, Kim SH, Kim JH, Kim YT, et al. Pre-treatment neutrophil to lymphocyte ratio is elevated in epithelial ovarian cancer and predicts survival after treatment. Cancer Immunol </w:t>
      </w:r>
      <w:proofErr w:type="spellStart"/>
      <w:r w:rsidRPr="00095EFE">
        <w:rPr>
          <w:sz w:val="24"/>
        </w:rPr>
        <w:t>Immunother</w:t>
      </w:r>
      <w:proofErr w:type="spellEnd"/>
      <w:r w:rsidRPr="00095EFE">
        <w:rPr>
          <w:sz w:val="24"/>
        </w:rPr>
        <w:t>. 2009;58(1):15–23.</w:t>
      </w:r>
    </w:p>
    <w:p w14:paraId="53DD5458" w14:textId="0DA7E336"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Feng Z, Wen H, Bi R, Ju X, Chen X, Yang W, et al. Preoperative neutrophil-to-lymphocyte ratio as a predictive and prognostic factor for high-grade serous ovarian cancer. </w:t>
      </w:r>
      <w:proofErr w:type="spellStart"/>
      <w:r w:rsidRPr="00095EFE">
        <w:rPr>
          <w:sz w:val="24"/>
        </w:rPr>
        <w:t>PLoS</w:t>
      </w:r>
      <w:proofErr w:type="spellEnd"/>
      <w:r w:rsidRPr="00095EFE">
        <w:rPr>
          <w:sz w:val="24"/>
        </w:rPr>
        <w:t xml:space="preserve"> One. 2016;11(5</w:t>
      </w:r>
      <w:proofErr w:type="gramStart"/>
      <w:r w:rsidRPr="00095EFE">
        <w:rPr>
          <w:sz w:val="24"/>
        </w:rPr>
        <w:t>):e</w:t>
      </w:r>
      <w:proofErr w:type="gramEnd"/>
      <w:r w:rsidRPr="00095EFE">
        <w:rPr>
          <w:sz w:val="24"/>
        </w:rPr>
        <w:t>0156101.</w:t>
      </w:r>
    </w:p>
    <w:p w14:paraId="6CF98AF5" w14:textId="20C951BF"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Wang Y, Liu P, Xu Y, Zhang W, Tong L, Guo Z, et al. Preoperative neutrophil-to-lymphocyte ratio predicts response to first-line platinum-based chemotherapy and prognosis in serous ovarian cancer. Cancer </w:t>
      </w:r>
      <w:proofErr w:type="spellStart"/>
      <w:r w:rsidRPr="00095EFE">
        <w:rPr>
          <w:sz w:val="24"/>
        </w:rPr>
        <w:t>Chemother</w:t>
      </w:r>
      <w:proofErr w:type="spellEnd"/>
      <w:r w:rsidRPr="00095EFE">
        <w:rPr>
          <w:sz w:val="24"/>
        </w:rPr>
        <w:t xml:space="preserve"> </w:t>
      </w:r>
      <w:proofErr w:type="spellStart"/>
      <w:r w:rsidRPr="00095EFE">
        <w:rPr>
          <w:sz w:val="24"/>
        </w:rPr>
        <w:t>Pharmacol</w:t>
      </w:r>
      <w:proofErr w:type="spellEnd"/>
      <w:r w:rsidRPr="00095EFE">
        <w:rPr>
          <w:sz w:val="24"/>
        </w:rPr>
        <w:t>. 2015;75(2):255–62.</w:t>
      </w:r>
    </w:p>
    <w:p w14:paraId="3C54D4C9" w14:textId="1F0D71F9"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Li Z, Hong N, Robertson M, Wang C, Jiang G. Preoperative red cell distribution width and neutrophil-to-lymphocyte ratio predict survival in patients with epithelial ovarian cancer. Sci Rep. </w:t>
      </w:r>
      <w:proofErr w:type="gramStart"/>
      <w:r w:rsidRPr="00095EFE">
        <w:rPr>
          <w:sz w:val="24"/>
        </w:rPr>
        <w:t>2017;7:43001</w:t>
      </w:r>
      <w:proofErr w:type="gramEnd"/>
      <w:r w:rsidRPr="00095EFE">
        <w:rPr>
          <w:sz w:val="24"/>
        </w:rPr>
        <w:t>.</w:t>
      </w:r>
    </w:p>
    <w:p w14:paraId="1D73FF8F" w14:textId="102BF310" w:rsidR="00095EFE" w:rsidRPr="00095EFE" w:rsidRDefault="00095EFE" w:rsidP="00610B7B">
      <w:pPr>
        <w:pStyle w:val="ListParagraph"/>
        <w:numPr>
          <w:ilvl w:val="0"/>
          <w:numId w:val="9"/>
        </w:numPr>
        <w:spacing w:line="480" w:lineRule="auto"/>
        <w:ind w:left="426" w:hanging="426"/>
        <w:jc w:val="both"/>
        <w:rPr>
          <w:sz w:val="24"/>
        </w:rPr>
      </w:pPr>
      <w:r w:rsidRPr="00095EFE">
        <w:rPr>
          <w:sz w:val="24"/>
        </w:rPr>
        <w:lastRenderedPageBreak/>
        <w:t xml:space="preserve">Kim YJ, Lee I, Chung YS, Nam E, Kim S, Kim SW, et al. Pretreatment neutrophil-to-lymphocyte ratio and its dynamic change during neoadjuvant chemotherapy as poor prognostic factors in advanced ovarian cancer. </w:t>
      </w:r>
      <w:proofErr w:type="spellStart"/>
      <w:r w:rsidRPr="00095EFE">
        <w:rPr>
          <w:sz w:val="24"/>
        </w:rPr>
        <w:t>Obstet</w:t>
      </w:r>
      <w:proofErr w:type="spellEnd"/>
      <w:r w:rsidRPr="00095EFE">
        <w:rPr>
          <w:sz w:val="24"/>
        </w:rPr>
        <w:t xml:space="preserve"> </w:t>
      </w:r>
      <w:proofErr w:type="spellStart"/>
      <w:r w:rsidRPr="00095EFE">
        <w:rPr>
          <w:sz w:val="24"/>
        </w:rPr>
        <w:t>Gynecol</w:t>
      </w:r>
      <w:proofErr w:type="spellEnd"/>
      <w:r w:rsidRPr="00095EFE">
        <w:rPr>
          <w:sz w:val="24"/>
        </w:rPr>
        <w:t xml:space="preserve"> Sci. 2018;61(2):227–34.</w:t>
      </w:r>
    </w:p>
    <w:p w14:paraId="061FD0F1" w14:textId="22C89C5C"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John-Olabode SO, </w:t>
      </w:r>
      <w:proofErr w:type="spellStart"/>
      <w:r w:rsidRPr="00095EFE">
        <w:rPr>
          <w:sz w:val="24"/>
        </w:rPr>
        <w:t>Okunade</w:t>
      </w:r>
      <w:proofErr w:type="spellEnd"/>
      <w:r w:rsidRPr="00095EFE">
        <w:rPr>
          <w:sz w:val="24"/>
        </w:rPr>
        <w:t xml:space="preserve"> KS, Olorunfemi G, </w:t>
      </w:r>
      <w:proofErr w:type="spellStart"/>
      <w:r w:rsidRPr="00095EFE">
        <w:rPr>
          <w:sz w:val="24"/>
        </w:rPr>
        <w:t>Soibi</w:t>
      </w:r>
      <w:proofErr w:type="spellEnd"/>
      <w:r w:rsidRPr="00095EFE">
        <w:rPr>
          <w:sz w:val="24"/>
        </w:rPr>
        <w:t xml:space="preserve">-Harry A, Rimi G, </w:t>
      </w:r>
      <w:proofErr w:type="spellStart"/>
      <w:r w:rsidRPr="00095EFE">
        <w:rPr>
          <w:sz w:val="24"/>
        </w:rPr>
        <w:t>Osunwusi</w:t>
      </w:r>
      <w:proofErr w:type="spellEnd"/>
      <w:r w:rsidRPr="00095EFE">
        <w:rPr>
          <w:sz w:val="24"/>
        </w:rPr>
        <w:t xml:space="preserve"> B, et al. Pretreatment neutrophil-to-lymphocyte ratio: a prognostic biomarker of survival in patients with epithelial ovarian cancer. </w:t>
      </w:r>
      <w:proofErr w:type="spellStart"/>
      <w:r w:rsidRPr="00095EFE">
        <w:rPr>
          <w:sz w:val="24"/>
        </w:rPr>
        <w:t>Cureus</w:t>
      </w:r>
      <w:proofErr w:type="spellEnd"/>
      <w:r w:rsidRPr="00095EFE">
        <w:rPr>
          <w:sz w:val="24"/>
        </w:rPr>
        <w:t>. 2021;13(7</w:t>
      </w:r>
      <w:proofErr w:type="gramStart"/>
      <w:r w:rsidRPr="00095EFE">
        <w:rPr>
          <w:sz w:val="24"/>
        </w:rPr>
        <w:t>):e</w:t>
      </w:r>
      <w:proofErr w:type="gramEnd"/>
      <w:r w:rsidRPr="00095EFE">
        <w:rPr>
          <w:sz w:val="24"/>
        </w:rPr>
        <w:t>16429.</w:t>
      </w:r>
    </w:p>
    <w:p w14:paraId="0D9F65AD" w14:textId="5938CFC7"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Williams KA, Labidi-Galy SI, Terry KL, </w:t>
      </w:r>
      <w:proofErr w:type="spellStart"/>
      <w:r w:rsidRPr="00095EFE">
        <w:rPr>
          <w:sz w:val="24"/>
        </w:rPr>
        <w:t>Vitonis</w:t>
      </w:r>
      <w:proofErr w:type="spellEnd"/>
      <w:r w:rsidRPr="00095EFE">
        <w:rPr>
          <w:sz w:val="24"/>
        </w:rPr>
        <w:t xml:space="preserve"> AF, Welch WR, Goodman A, et al. Prognostic </w:t>
      </w:r>
      <w:proofErr w:type="gramStart"/>
      <w:r w:rsidRPr="00095EFE">
        <w:rPr>
          <w:sz w:val="24"/>
        </w:rPr>
        <w:t>significance</w:t>
      </w:r>
      <w:proofErr w:type="gramEnd"/>
      <w:r w:rsidRPr="00095EFE">
        <w:rPr>
          <w:sz w:val="24"/>
        </w:rPr>
        <w:t xml:space="preserve"> and predictors of the neutrophil-to-lymphocyte ratio in ovarian cancer. Gynecol Oncol. 2014;132(3):542–50.</w:t>
      </w:r>
    </w:p>
    <w:p w14:paraId="370C5333" w14:textId="209828FF"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Qiu J, Yu Y, Fu Y, Ye F, Xie X, Lu W. Preoperative plasma fibrinogen, platelet count and prognosis in epithelial ovarian cancer. J </w:t>
      </w:r>
      <w:proofErr w:type="spellStart"/>
      <w:r w:rsidRPr="00095EFE">
        <w:rPr>
          <w:sz w:val="24"/>
        </w:rPr>
        <w:t>Obstet</w:t>
      </w:r>
      <w:proofErr w:type="spellEnd"/>
      <w:r w:rsidRPr="00095EFE">
        <w:rPr>
          <w:sz w:val="24"/>
        </w:rPr>
        <w:t xml:space="preserve"> </w:t>
      </w:r>
      <w:proofErr w:type="spellStart"/>
      <w:r w:rsidRPr="00095EFE">
        <w:rPr>
          <w:sz w:val="24"/>
        </w:rPr>
        <w:t>Gynaecol</w:t>
      </w:r>
      <w:proofErr w:type="spellEnd"/>
      <w:r w:rsidRPr="00095EFE">
        <w:rPr>
          <w:sz w:val="24"/>
        </w:rPr>
        <w:t xml:space="preserve"> Res. 2012;38(4):651–7.</w:t>
      </w:r>
    </w:p>
    <w:p w14:paraId="6EE08B97" w14:textId="6C05A63B"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Li Y, Yang JN, Cheng SS, Wang Y. Prognostic significance of FA score based on plasma fibrinogen and serum albumin in patients with epithelial ovarian cancer. Cancer Manag Res. </w:t>
      </w:r>
      <w:proofErr w:type="gramStart"/>
      <w:r w:rsidRPr="00095EFE">
        <w:rPr>
          <w:sz w:val="24"/>
        </w:rPr>
        <w:t>2019;11:7697</w:t>
      </w:r>
      <w:proofErr w:type="gramEnd"/>
      <w:r w:rsidRPr="00095EFE">
        <w:rPr>
          <w:sz w:val="24"/>
        </w:rPr>
        <w:t>–705.</w:t>
      </w:r>
    </w:p>
    <w:p w14:paraId="3758054F" w14:textId="5A091266" w:rsidR="00095EFE" w:rsidRPr="00095EFE" w:rsidRDefault="00095EFE" w:rsidP="00610B7B">
      <w:pPr>
        <w:pStyle w:val="ListParagraph"/>
        <w:numPr>
          <w:ilvl w:val="0"/>
          <w:numId w:val="9"/>
        </w:numPr>
        <w:spacing w:line="480" w:lineRule="auto"/>
        <w:ind w:left="426" w:hanging="426"/>
        <w:jc w:val="both"/>
        <w:rPr>
          <w:sz w:val="24"/>
        </w:rPr>
      </w:pPr>
      <w:proofErr w:type="spellStart"/>
      <w:r w:rsidRPr="00095EFE">
        <w:rPr>
          <w:sz w:val="24"/>
        </w:rPr>
        <w:t>Polterauer</w:t>
      </w:r>
      <w:proofErr w:type="spellEnd"/>
      <w:r w:rsidRPr="00095EFE">
        <w:rPr>
          <w:sz w:val="24"/>
        </w:rPr>
        <w:t xml:space="preserve"> S, Grimm C, Seebacher V, </w:t>
      </w:r>
      <w:proofErr w:type="spellStart"/>
      <w:r w:rsidRPr="00095EFE">
        <w:rPr>
          <w:sz w:val="24"/>
        </w:rPr>
        <w:t>Concin</w:t>
      </w:r>
      <w:proofErr w:type="spellEnd"/>
      <w:r w:rsidRPr="00095EFE">
        <w:rPr>
          <w:sz w:val="24"/>
        </w:rPr>
        <w:t xml:space="preserve"> N, Marth C, Tomovski C, et al. Plasma fibrinogen levels and prognosis in patients with ovarian cancer: a multicenter study. Oncologist. 2009;14(10):979–85.</w:t>
      </w:r>
    </w:p>
    <w:p w14:paraId="46D07F71" w14:textId="580E8D2E"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Hu Q, Hada A, Han L. Platelet count as a biomarker for monitoring treatment response and disease recurrence in recurrent epithelial ovarian cancer. J Ovarian Res. 2020;13(78).</w:t>
      </w:r>
    </w:p>
    <w:p w14:paraId="47B5E06D" w14:textId="241AC35D"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Feng Z, Wen H, Bi R, Duan Y, Yang W, Wu X. </w:t>
      </w:r>
      <w:proofErr w:type="gramStart"/>
      <w:r w:rsidRPr="00095EFE">
        <w:rPr>
          <w:sz w:val="24"/>
        </w:rPr>
        <w:t>Thrombocytosis</w:t>
      </w:r>
      <w:proofErr w:type="gramEnd"/>
      <w:r w:rsidRPr="00095EFE">
        <w:rPr>
          <w:sz w:val="24"/>
        </w:rPr>
        <w:t xml:space="preserve"> and hyperfibrinogenemia are predictive factors of clinical outcomes in high-grade serous ovarian cancer patients. BMC Cancer. </w:t>
      </w:r>
      <w:proofErr w:type="gramStart"/>
      <w:r w:rsidRPr="00095EFE">
        <w:rPr>
          <w:sz w:val="24"/>
        </w:rPr>
        <w:t>2016;16:43</w:t>
      </w:r>
      <w:proofErr w:type="gramEnd"/>
      <w:r w:rsidRPr="00095EFE">
        <w:rPr>
          <w:sz w:val="24"/>
        </w:rPr>
        <w:t>.</w:t>
      </w:r>
    </w:p>
    <w:p w14:paraId="276F8F4A" w14:textId="2E6CD94D"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Zhang WW, Liu KJ, Hu GL, Liang WJ. Preoperative platelet/lymphocyte ratio is a superior </w:t>
      </w:r>
      <w:r w:rsidRPr="00095EFE">
        <w:rPr>
          <w:sz w:val="24"/>
        </w:rPr>
        <w:lastRenderedPageBreak/>
        <w:t xml:space="preserve">prognostic factor compared to other systemic inflammatory response markers in ovarian cancer patients. </w:t>
      </w:r>
      <w:proofErr w:type="spellStart"/>
      <w:r w:rsidRPr="00095EFE">
        <w:rPr>
          <w:sz w:val="24"/>
        </w:rPr>
        <w:t>Tumour</w:t>
      </w:r>
      <w:proofErr w:type="spellEnd"/>
      <w:r w:rsidRPr="00095EFE">
        <w:rPr>
          <w:sz w:val="24"/>
        </w:rPr>
        <w:t xml:space="preserve"> Biol. 2015;36(11):8831–7.</w:t>
      </w:r>
    </w:p>
    <w:p w14:paraId="7DD8CD9D" w14:textId="7F3C68BB"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Man YN, Wang YN, Hao J, Liu X, Liu C, Zhu C, et al. Pretreatment plasma D-dimer, fibrinogen, and platelet levels significantly impact prognosis in patients with epithelial ovarian cancer independently of venous thromboembolism. Int J Gynecol Cancer. 2015;25(1):24–32.</w:t>
      </w:r>
    </w:p>
    <w:p w14:paraId="01550809" w14:textId="129DDA54"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 xml:space="preserve">Liu P, Wang Y, Tong L, Xu Y, Zhang W, Guo Z, et al. Elevated preoperative plasma D-dimer level is a useful predictor of chemoresistance and poor disease outcome for serous ovarian cancer patients. Cancer </w:t>
      </w:r>
      <w:proofErr w:type="spellStart"/>
      <w:r w:rsidRPr="00095EFE">
        <w:rPr>
          <w:sz w:val="24"/>
        </w:rPr>
        <w:t>Chemother</w:t>
      </w:r>
      <w:proofErr w:type="spellEnd"/>
      <w:r w:rsidRPr="00095EFE">
        <w:rPr>
          <w:sz w:val="24"/>
        </w:rPr>
        <w:t xml:space="preserve"> </w:t>
      </w:r>
      <w:proofErr w:type="spellStart"/>
      <w:r w:rsidRPr="00095EFE">
        <w:rPr>
          <w:sz w:val="24"/>
        </w:rPr>
        <w:t>Pharmacol</w:t>
      </w:r>
      <w:proofErr w:type="spellEnd"/>
      <w:r w:rsidRPr="00095EFE">
        <w:rPr>
          <w:sz w:val="24"/>
        </w:rPr>
        <w:t>. 2015;76(6):1163–71.</w:t>
      </w:r>
    </w:p>
    <w:p w14:paraId="25434D85" w14:textId="7521ECE8" w:rsidR="00095EFE" w:rsidRPr="00095EFE" w:rsidRDefault="00095EFE" w:rsidP="00610B7B">
      <w:pPr>
        <w:pStyle w:val="ListParagraph"/>
        <w:numPr>
          <w:ilvl w:val="0"/>
          <w:numId w:val="9"/>
        </w:numPr>
        <w:spacing w:line="480" w:lineRule="auto"/>
        <w:ind w:left="426" w:hanging="426"/>
        <w:jc w:val="both"/>
        <w:rPr>
          <w:sz w:val="24"/>
        </w:rPr>
      </w:pPr>
      <w:r w:rsidRPr="00095EFE">
        <w:rPr>
          <w:sz w:val="24"/>
        </w:rPr>
        <w:t>Luo Y, Kim HS, Kim M, Lee M, Song YS. Elevated plasma fibrinogen levels and prognosis of epithelial ovarian cancer: a cohort study and meta-analysis. J Gynecol Oncol. 2017;28(3</w:t>
      </w:r>
      <w:proofErr w:type="gramStart"/>
      <w:r w:rsidRPr="00095EFE">
        <w:rPr>
          <w:sz w:val="24"/>
        </w:rPr>
        <w:t>):e</w:t>
      </w:r>
      <w:proofErr w:type="gramEnd"/>
      <w:r w:rsidRPr="00095EFE">
        <w:rPr>
          <w:sz w:val="24"/>
        </w:rPr>
        <w:t>36.</w:t>
      </w:r>
    </w:p>
    <w:sectPr w:rsidR="00095EFE" w:rsidRPr="00095EFE" w:rsidSect="00C338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F6B1" w14:textId="77777777" w:rsidR="00C70A5F" w:rsidRDefault="00C70A5F" w:rsidP="008A3065">
      <w:r>
        <w:separator/>
      </w:r>
    </w:p>
  </w:endnote>
  <w:endnote w:type="continuationSeparator" w:id="0">
    <w:p w14:paraId="7628BB32" w14:textId="77777777" w:rsidR="00C70A5F" w:rsidRDefault="00C70A5F" w:rsidP="008A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262693"/>
      <w:docPartObj>
        <w:docPartGallery w:val="Page Numbers (Bottom of Page)"/>
        <w:docPartUnique/>
      </w:docPartObj>
    </w:sdtPr>
    <w:sdtEndPr>
      <w:rPr>
        <w:noProof/>
      </w:rPr>
    </w:sdtEndPr>
    <w:sdtContent>
      <w:p w14:paraId="73AEC56A" w14:textId="56C226BA" w:rsidR="00CD4A51" w:rsidRDefault="00CD4A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572B0" w14:textId="77777777" w:rsidR="00CD4A51" w:rsidRDefault="00CD4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676887"/>
      <w:docPartObj>
        <w:docPartGallery w:val="Page Numbers (Bottom of Page)"/>
        <w:docPartUnique/>
      </w:docPartObj>
    </w:sdtPr>
    <w:sdtEndPr>
      <w:rPr>
        <w:noProof/>
      </w:rPr>
    </w:sdtEndPr>
    <w:sdtContent>
      <w:p w14:paraId="7728D578" w14:textId="2A6CB8FC" w:rsidR="008A3065" w:rsidRDefault="008A3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8A69A" w14:textId="77777777" w:rsidR="008A3065" w:rsidRDefault="008A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394854"/>
      <w:docPartObj>
        <w:docPartGallery w:val="Page Numbers (Bottom of Page)"/>
        <w:docPartUnique/>
      </w:docPartObj>
    </w:sdtPr>
    <w:sdtEndPr>
      <w:rPr>
        <w:noProof/>
      </w:rPr>
    </w:sdtEndPr>
    <w:sdtContent>
      <w:p w14:paraId="74F86471" w14:textId="3A734FFC" w:rsidR="00C338D8" w:rsidRDefault="00C338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69D9B" w14:textId="77777777" w:rsidR="008A3065" w:rsidRDefault="008A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490B" w14:textId="77777777" w:rsidR="00C70A5F" w:rsidRDefault="00C70A5F" w:rsidP="008A3065">
      <w:r>
        <w:separator/>
      </w:r>
    </w:p>
  </w:footnote>
  <w:footnote w:type="continuationSeparator" w:id="0">
    <w:p w14:paraId="5C45DCFD" w14:textId="77777777" w:rsidR="00C70A5F" w:rsidRDefault="00C70A5F" w:rsidP="008A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FBC"/>
    <w:multiLevelType w:val="hybridMultilevel"/>
    <w:tmpl w:val="471A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5549C"/>
    <w:multiLevelType w:val="hybridMultilevel"/>
    <w:tmpl w:val="6F78B1F8"/>
    <w:lvl w:ilvl="0" w:tplc="F97A67C6">
      <w:start w:val="1"/>
      <w:numFmt w:val="decimal"/>
      <w:lvlText w:val="%1."/>
      <w:lvlJc w:val="left"/>
      <w:pPr>
        <w:ind w:left="311" w:hanging="36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2" w15:restartNumberingAfterBreak="0">
    <w:nsid w:val="0E410F07"/>
    <w:multiLevelType w:val="hybridMultilevel"/>
    <w:tmpl w:val="FBEA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47B6C"/>
    <w:multiLevelType w:val="hybridMultilevel"/>
    <w:tmpl w:val="743E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4791A"/>
    <w:multiLevelType w:val="hybridMultilevel"/>
    <w:tmpl w:val="4560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61DCD"/>
    <w:multiLevelType w:val="hybridMultilevel"/>
    <w:tmpl w:val="0C184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77BCB"/>
    <w:multiLevelType w:val="hybridMultilevel"/>
    <w:tmpl w:val="E5D0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F14E8"/>
    <w:multiLevelType w:val="hybridMultilevel"/>
    <w:tmpl w:val="9750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86D85"/>
    <w:multiLevelType w:val="hybridMultilevel"/>
    <w:tmpl w:val="8BB8A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45406">
    <w:abstractNumId w:val="2"/>
  </w:num>
  <w:num w:numId="2" w16cid:durableId="1570529920">
    <w:abstractNumId w:val="3"/>
  </w:num>
  <w:num w:numId="3" w16cid:durableId="416563567">
    <w:abstractNumId w:val="0"/>
  </w:num>
  <w:num w:numId="4" w16cid:durableId="109857784">
    <w:abstractNumId w:val="6"/>
  </w:num>
  <w:num w:numId="5" w16cid:durableId="516962430">
    <w:abstractNumId w:val="7"/>
  </w:num>
  <w:num w:numId="6" w16cid:durableId="1718046695">
    <w:abstractNumId w:val="8"/>
  </w:num>
  <w:num w:numId="7" w16cid:durableId="75716685">
    <w:abstractNumId w:val="1"/>
  </w:num>
  <w:num w:numId="8" w16cid:durableId="844394101">
    <w:abstractNumId w:val="4"/>
  </w:num>
  <w:num w:numId="9" w16cid:durableId="1032922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5C63"/>
    <w:rsid w:val="00086A88"/>
    <w:rsid w:val="00095EFE"/>
    <w:rsid w:val="000B0314"/>
    <w:rsid w:val="00141344"/>
    <w:rsid w:val="001E714D"/>
    <w:rsid w:val="00292D74"/>
    <w:rsid w:val="00424692"/>
    <w:rsid w:val="00503573"/>
    <w:rsid w:val="00610B7B"/>
    <w:rsid w:val="006D627F"/>
    <w:rsid w:val="006F3B55"/>
    <w:rsid w:val="00842033"/>
    <w:rsid w:val="008A28B5"/>
    <w:rsid w:val="008A3065"/>
    <w:rsid w:val="00986B31"/>
    <w:rsid w:val="00995C63"/>
    <w:rsid w:val="00A91E3E"/>
    <w:rsid w:val="00AB6219"/>
    <w:rsid w:val="00AD55D2"/>
    <w:rsid w:val="00B94242"/>
    <w:rsid w:val="00C03729"/>
    <w:rsid w:val="00C338D8"/>
    <w:rsid w:val="00C70A5F"/>
    <w:rsid w:val="00CD4A51"/>
    <w:rsid w:val="00E52A78"/>
    <w:rsid w:val="00E77770"/>
    <w:rsid w:val="00F4712C"/>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A785"/>
  <w15:docId w15:val="{C25ADF01-08FA-470B-A11C-26FBC508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3079" w:right="3093"/>
      <w:jc w:val="center"/>
      <w:outlineLvl w:val="0"/>
    </w:pPr>
    <w:rPr>
      <w:b/>
      <w:bCs/>
      <w:sz w:val="28"/>
      <w:szCs w:val="28"/>
    </w:rPr>
  </w:style>
  <w:style w:type="paragraph" w:styleId="Heading2">
    <w:name w:val="heading 2"/>
    <w:basedOn w:val="Normal"/>
    <w:uiPriority w:val="9"/>
    <w:unhideWhenUsed/>
    <w:qFormat/>
    <w:pPr>
      <w:spacing w:before="9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8A3065"/>
    <w:pPr>
      <w:widowControl/>
      <w:autoSpaceDE/>
      <w:autoSpaceDN/>
    </w:pPr>
    <w:rPr>
      <w:sz w:val="20"/>
      <w:szCs w:val="20"/>
      <w:lang w:val="en-ID" w:eastAsia="en-ID"/>
    </w:rPr>
  </w:style>
  <w:style w:type="character" w:customStyle="1" w:styleId="CommentTextChar">
    <w:name w:val="Comment Text Char"/>
    <w:basedOn w:val="DefaultParagraphFont"/>
    <w:link w:val="CommentText"/>
    <w:uiPriority w:val="99"/>
    <w:rsid w:val="008A3065"/>
    <w:rPr>
      <w:rFonts w:ascii="Times New Roman" w:eastAsia="Times New Roman" w:hAnsi="Times New Roman" w:cs="Times New Roman"/>
      <w:sz w:val="20"/>
      <w:szCs w:val="20"/>
      <w:lang w:val="en-ID" w:eastAsia="en-ID"/>
    </w:rPr>
  </w:style>
  <w:style w:type="character" w:styleId="CommentReference">
    <w:name w:val="annotation reference"/>
    <w:basedOn w:val="DefaultParagraphFont"/>
    <w:uiPriority w:val="99"/>
    <w:semiHidden/>
    <w:unhideWhenUsed/>
    <w:rsid w:val="008A3065"/>
    <w:rPr>
      <w:sz w:val="16"/>
      <w:szCs w:val="16"/>
    </w:rPr>
  </w:style>
  <w:style w:type="paragraph" w:styleId="Header">
    <w:name w:val="header"/>
    <w:basedOn w:val="Normal"/>
    <w:link w:val="HeaderChar"/>
    <w:uiPriority w:val="99"/>
    <w:unhideWhenUsed/>
    <w:rsid w:val="008A3065"/>
    <w:pPr>
      <w:tabs>
        <w:tab w:val="center" w:pos="4680"/>
        <w:tab w:val="right" w:pos="9360"/>
      </w:tabs>
    </w:pPr>
  </w:style>
  <w:style w:type="character" w:customStyle="1" w:styleId="HeaderChar">
    <w:name w:val="Header Char"/>
    <w:basedOn w:val="DefaultParagraphFont"/>
    <w:link w:val="Header"/>
    <w:uiPriority w:val="99"/>
    <w:rsid w:val="008A3065"/>
    <w:rPr>
      <w:rFonts w:ascii="Times New Roman" w:eastAsia="Times New Roman" w:hAnsi="Times New Roman" w:cs="Times New Roman"/>
    </w:rPr>
  </w:style>
  <w:style w:type="paragraph" w:styleId="Footer">
    <w:name w:val="footer"/>
    <w:basedOn w:val="Normal"/>
    <w:link w:val="FooterChar"/>
    <w:uiPriority w:val="99"/>
    <w:unhideWhenUsed/>
    <w:rsid w:val="008A3065"/>
    <w:pPr>
      <w:tabs>
        <w:tab w:val="center" w:pos="4680"/>
        <w:tab w:val="right" w:pos="9360"/>
      </w:tabs>
    </w:pPr>
  </w:style>
  <w:style w:type="character" w:customStyle="1" w:styleId="FooterChar">
    <w:name w:val="Footer Char"/>
    <w:basedOn w:val="DefaultParagraphFont"/>
    <w:link w:val="Footer"/>
    <w:uiPriority w:val="99"/>
    <w:rsid w:val="008A3065"/>
    <w:rPr>
      <w:rFonts w:ascii="Times New Roman" w:eastAsia="Times New Roman" w:hAnsi="Times New Roman" w:cs="Times New Roman"/>
    </w:rPr>
  </w:style>
  <w:style w:type="paragraph" w:styleId="Title">
    <w:name w:val="Title"/>
    <w:basedOn w:val="Normal"/>
    <w:next w:val="Normal"/>
    <w:link w:val="TitleChar"/>
    <w:uiPriority w:val="10"/>
    <w:qFormat/>
    <w:rsid w:val="00F4712C"/>
    <w:pPr>
      <w:keepNext/>
      <w:keepLines/>
      <w:widowControl/>
      <w:suppressAutoHyphens/>
      <w:autoSpaceDE/>
      <w:autoSpaceDN/>
      <w:spacing w:before="480" w:after="120" w:line="480" w:lineRule="auto"/>
      <w:ind w:leftChars="-1" w:left="-1" w:hangingChars="1" w:hanging="1"/>
      <w:textDirection w:val="btLr"/>
      <w:textAlignment w:val="top"/>
      <w:outlineLvl w:val="0"/>
    </w:pPr>
    <w:rPr>
      <w:rFonts w:ascii="Arial" w:eastAsia="Arial" w:hAnsi="Arial" w:cs="Arial"/>
      <w:b/>
      <w:position w:val="-1"/>
      <w:sz w:val="72"/>
      <w:szCs w:val="72"/>
    </w:rPr>
  </w:style>
  <w:style w:type="character" w:customStyle="1" w:styleId="TitleChar">
    <w:name w:val="Title Char"/>
    <w:basedOn w:val="DefaultParagraphFont"/>
    <w:link w:val="Title"/>
    <w:uiPriority w:val="10"/>
    <w:rsid w:val="00F4712C"/>
    <w:rPr>
      <w:rFonts w:ascii="Arial" w:eastAsia="Arial" w:hAnsi="Arial" w:cs="Arial"/>
      <w:b/>
      <w:position w:val="-1"/>
      <w:sz w:val="72"/>
      <w:szCs w:val="72"/>
    </w:rPr>
  </w:style>
  <w:style w:type="paragraph" w:styleId="NormalWeb">
    <w:name w:val="Normal (Web)"/>
    <w:basedOn w:val="Normal"/>
    <w:uiPriority w:val="99"/>
    <w:unhideWhenUsed/>
    <w:rsid w:val="00F4712C"/>
    <w:pPr>
      <w:widowControl/>
      <w:autoSpaceDE/>
      <w:autoSpaceDN/>
      <w:spacing w:before="100" w:beforeAutospacing="1" w:after="100" w:afterAutospacing="1"/>
    </w:pPr>
    <w:rPr>
      <w:sz w:val="24"/>
      <w:szCs w:val="24"/>
      <w:lang w:val="en-ID"/>
    </w:rPr>
  </w:style>
  <w:style w:type="table" w:styleId="TableGrid">
    <w:name w:val="Table Grid"/>
    <w:basedOn w:val="TableNormal"/>
    <w:uiPriority w:val="39"/>
    <w:rsid w:val="00E5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Medical Journal of Indonesia</cp:lastModifiedBy>
  <cp:revision>13</cp:revision>
  <dcterms:created xsi:type="dcterms:W3CDTF">2023-07-04T02:17:00Z</dcterms:created>
  <dcterms:modified xsi:type="dcterms:W3CDTF">2023-10-20T06:13:00Z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2023-07-04T00:00:00Z</vt:filetime>
  </property>
</Properties>
</file>