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E68B" w14:textId="77777777" w:rsidR="00995C63" w:rsidRPr="00424692" w:rsidRDefault="000A7825" w:rsidP="00C338D8">
      <w:pPr>
        <w:pStyle w:val="Heading1"/>
        <w:ind w:left="0" w:right="4"/>
      </w:pPr>
      <w:r w:rsidRPr="00424692">
        <w:t>Supplementary</w:t>
      </w:r>
      <w:r w:rsidRPr="00424692">
        <w:rPr>
          <w:spacing w:val="-4"/>
        </w:rPr>
        <w:t xml:space="preserve"> </w:t>
      </w:r>
      <w:r w:rsidRPr="00424692">
        <w:t>File</w:t>
      </w:r>
    </w:p>
    <w:p w14:paraId="33705A9B" w14:textId="77777777" w:rsidR="00995C63" w:rsidRPr="00424692" w:rsidRDefault="00995C63" w:rsidP="00C338D8">
      <w:pPr>
        <w:pStyle w:val="BodyText"/>
        <w:ind w:right="4"/>
        <w:rPr>
          <w:b/>
          <w:sz w:val="30"/>
        </w:rPr>
      </w:pPr>
    </w:p>
    <w:p w14:paraId="7850CCAA" w14:textId="26F0C0AF" w:rsidR="00995C63" w:rsidRPr="00D76869" w:rsidRDefault="000A7825" w:rsidP="00990B6C">
      <w:pPr>
        <w:pStyle w:val="BodyText"/>
        <w:spacing w:before="230" w:line="360" w:lineRule="auto"/>
        <w:ind w:right="4"/>
        <w:jc w:val="both"/>
        <w:rPr>
          <w:lang w:val="id-ID"/>
        </w:rPr>
      </w:pPr>
      <w:r w:rsidRPr="00424692">
        <w:t xml:space="preserve">Supplement to: </w:t>
      </w:r>
      <w:r w:rsidR="00846C07">
        <w:rPr>
          <w:lang w:val="id-ID"/>
        </w:rPr>
        <w:t>Atmoko W</w:t>
      </w:r>
      <w:r w:rsidR="00990B6C">
        <w:rPr>
          <w:lang w:val="id-ID"/>
        </w:rPr>
        <w:t xml:space="preserve">, </w:t>
      </w:r>
      <w:r w:rsidR="00846C07">
        <w:rPr>
          <w:lang w:val="id-ID"/>
        </w:rPr>
        <w:t>Savira M</w:t>
      </w:r>
      <w:r w:rsidR="00990B6C">
        <w:rPr>
          <w:lang w:val="id-ID"/>
        </w:rPr>
        <w:t xml:space="preserve">, </w:t>
      </w:r>
      <w:r w:rsidR="00846C07">
        <w:rPr>
          <w:lang w:val="id-ID"/>
        </w:rPr>
        <w:t>Fajriani R</w:t>
      </w:r>
      <w:r w:rsidR="00990B6C">
        <w:rPr>
          <w:lang w:val="id-ID"/>
        </w:rPr>
        <w:t xml:space="preserve">, </w:t>
      </w:r>
      <w:r w:rsidR="00846C07">
        <w:rPr>
          <w:lang w:val="id-ID"/>
        </w:rPr>
        <w:t>Wistara SS</w:t>
      </w:r>
      <w:r w:rsidR="00990B6C">
        <w:rPr>
          <w:lang w:val="id-ID"/>
        </w:rPr>
        <w:t xml:space="preserve">, </w:t>
      </w:r>
      <w:r w:rsidR="00846C07">
        <w:rPr>
          <w:lang w:val="id-ID"/>
        </w:rPr>
        <w:t>Asmarinah</w:t>
      </w:r>
      <w:r w:rsidR="00990B6C">
        <w:rPr>
          <w:lang w:val="id-ID"/>
        </w:rPr>
        <w:t xml:space="preserve">, </w:t>
      </w:r>
      <w:r w:rsidR="00846C07">
        <w:rPr>
          <w:lang w:val="id-ID"/>
        </w:rPr>
        <w:t>Harahap AR</w:t>
      </w:r>
      <w:r w:rsidR="00990B6C">
        <w:rPr>
          <w:lang w:val="id-ID"/>
        </w:rPr>
        <w:t xml:space="preserve">, </w:t>
      </w:r>
      <w:r w:rsidR="00E1562F">
        <w:rPr>
          <w:lang w:val="id-ID"/>
        </w:rPr>
        <w:t>et al</w:t>
      </w:r>
      <w:r w:rsidR="008A3065" w:rsidRPr="00424692">
        <w:t xml:space="preserve">. </w:t>
      </w:r>
      <w:r w:rsidR="00846C07" w:rsidRPr="00846C07">
        <w:rPr>
          <w:lang w:val="id-ID"/>
        </w:rPr>
        <w:t>Factors associated with stone recurrence among kidney stone formers in Indonesia: a comprehensive analysis of genetic polymorphism, demographic, and clinical factors</w:t>
      </w:r>
      <w:r w:rsidRPr="00424692">
        <w:t>. Med J</w:t>
      </w:r>
      <w:r w:rsidRPr="00424692">
        <w:rPr>
          <w:spacing w:val="1"/>
        </w:rPr>
        <w:t xml:space="preserve"> </w:t>
      </w:r>
      <w:proofErr w:type="spellStart"/>
      <w:r w:rsidRPr="00424692">
        <w:t>Indones</w:t>
      </w:r>
      <w:proofErr w:type="spellEnd"/>
      <w:r w:rsidRPr="00424692">
        <w:t>.</w:t>
      </w:r>
      <w:r w:rsidRPr="00424692">
        <w:rPr>
          <w:spacing w:val="-2"/>
        </w:rPr>
        <w:t xml:space="preserve"> </w:t>
      </w:r>
      <w:r w:rsidRPr="00AB6219">
        <w:t>202</w:t>
      </w:r>
      <w:r w:rsidR="00846C07">
        <w:t>4;33(3)</w:t>
      </w:r>
      <w:r w:rsidR="00AB6219">
        <w:t>.</w:t>
      </w:r>
      <w:r w:rsidR="00503573" w:rsidRPr="00424692">
        <w:t xml:space="preserve"> </w:t>
      </w:r>
      <w:r w:rsidRPr="00424692">
        <w:t>DOI:10.13181/mji.oa.</w:t>
      </w:r>
      <w:r w:rsidR="008A3065" w:rsidRPr="00424692">
        <w:t>2</w:t>
      </w:r>
      <w:r w:rsidR="00846C07">
        <w:t>4</w:t>
      </w:r>
      <w:r w:rsidR="00D76869">
        <w:rPr>
          <w:lang w:val="id-ID"/>
        </w:rPr>
        <w:t>7</w:t>
      </w:r>
      <w:r w:rsidR="00846C07">
        <w:rPr>
          <w:lang w:val="id-ID"/>
        </w:rPr>
        <w:t>59</w:t>
      </w:r>
      <w:r w:rsidR="00D76869">
        <w:rPr>
          <w:lang w:val="id-ID"/>
        </w:rPr>
        <w:t>6</w:t>
      </w:r>
    </w:p>
    <w:p w14:paraId="4EC88639" w14:textId="77777777" w:rsidR="00995C63" w:rsidRPr="00424692" w:rsidRDefault="00995C63" w:rsidP="00C338D8">
      <w:pPr>
        <w:pStyle w:val="BodyText"/>
        <w:ind w:right="4"/>
        <w:rPr>
          <w:sz w:val="36"/>
        </w:rPr>
      </w:pPr>
    </w:p>
    <w:p w14:paraId="7DD22B45" w14:textId="77777777" w:rsidR="00995C63" w:rsidRPr="00424692" w:rsidRDefault="000A7825" w:rsidP="00C338D8">
      <w:pPr>
        <w:pStyle w:val="BodyText"/>
        <w:ind w:right="4"/>
        <w:jc w:val="both"/>
      </w:pPr>
      <w:r w:rsidRPr="00424692">
        <w:t>This</w:t>
      </w:r>
      <w:r w:rsidRPr="00424692">
        <w:rPr>
          <w:spacing w:val="-1"/>
        </w:rPr>
        <w:t xml:space="preserve"> </w:t>
      </w:r>
      <w:r w:rsidRPr="00424692">
        <w:t>file</w:t>
      </w:r>
      <w:r w:rsidRPr="00424692">
        <w:rPr>
          <w:spacing w:val="-2"/>
        </w:rPr>
        <w:t xml:space="preserve"> </w:t>
      </w:r>
      <w:r w:rsidRPr="00424692">
        <w:t>provides further</w:t>
      </w:r>
      <w:r w:rsidRPr="00424692">
        <w:rPr>
          <w:spacing w:val="1"/>
        </w:rPr>
        <w:t xml:space="preserve"> </w:t>
      </w:r>
      <w:r w:rsidRPr="00424692">
        <w:t>information related</w:t>
      </w:r>
      <w:r w:rsidRPr="00424692">
        <w:rPr>
          <w:spacing w:val="-1"/>
        </w:rPr>
        <w:t xml:space="preserve"> </w:t>
      </w:r>
      <w:r w:rsidRPr="00424692">
        <w:t>to the</w:t>
      </w:r>
      <w:r w:rsidRPr="00424692">
        <w:rPr>
          <w:spacing w:val="-2"/>
        </w:rPr>
        <w:t xml:space="preserve"> </w:t>
      </w:r>
      <w:r w:rsidRPr="00424692">
        <w:t>study.</w:t>
      </w:r>
    </w:p>
    <w:p w14:paraId="02D2EBDC" w14:textId="77777777" w:rsidR="00995C63" w:rsidRPr="00424692" w:rsidRDefault="00995C63">
      <w:pPr>
        <w:jc w:val="both"/>
        <w:sectPr w:rsidR="00995C63" w:rsidRPr="00424692" w:rsidSect="00C338D8">
          <w:footerReference w:type="even" r:id="rId7"/>
          <w:footerReference w:type="default" r:id="rId8"/>
          <w:footerReference w:type="first" r:id="rId9"/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docGrid w:linePitch="299"/>
        </w:sectPr>
      </w:pPr>
    </w:p>
    <w:p w14:paraId="70AEF8B6" w14:textId="77777777" w:rsidR="00995C63" w:rsidRPr="00424692" w:rsidRDefault="000A7825" w:rsidP="00C338D8">
      <w:pPr>
        <w:pStyle w:val="Heading1"/>
        <w:ind w:left="0" w:right="4"/>
      </w:pPr>
      <w:r w:rsidRPr="00424692">
        <w:lastRenderedPageBreak/>
        <w:t>Supplementary</w:t>
      </w:r>
      <w:r w:rsidRPr="00424692">
        <w:rPr>
          <w:spacing w:val="-1"/>
        </w:rPr>
        <w:t xml:space="preserve"> </w:t>
      </w:r>
      <w:r w:rsidRPr="00424692">
        <w:t>Information</w:t>
      </w:r>
    </w:p>
    <w:p w14:paraId="61367215" w14:textId="4A39C68E" w:rsidR="00E52A78" w:rsidRPr="00424692" w:rsidRDefault="00E52A78" w:rsidP="00E52A78">
      <w:pPr>
        <w:pStyle w:val="Heading2"/>
        <w:spacing w:before="230"/>
        <w:ind w:left="0" w:right="4"/>
        <w:rPr>
          <w:sz w:val="30"/>
          <w:szCs w:val="30"/>
        </w:rPr>
      </w:pPr>
    </w:p>
    <w:tbl>
      <w:tblPr>
        <w:tblStyle w:val="TableGrid"/>
        <w:tblW w:w="0" w:type="auto"/>
        <w:tblInd w:w="6" w:type="dxa"/>
        <w:tblLook w:val="04A0" w:firstRow="1" w:lastRow="0" w:firstColumn="1" w:lastColumn="0" w:noHBand="0" w:noVBand="1"/>
      </w:tblPr>
      <w:tblGrid>
        <w:gridCol w:w="9095"/>
        <w:gridCol w:w="506"/>
      </w:tblGrid>
      <w:tr w:rsidR="00E52A78" w:rsidRPr="00424692" w14:paraId="00E04813" w14:textId="77777777" w:rsidTr="0087346E">
        <w:tc>
          <w:tcPr>
            <w:tcW w:w="9095" w:type="dxa"/>
            <w:vAlign w:val="center"/>
          </w:tcPr>
          <w:p w14:paraId="5FA34F19" w14:textId="663475CF" w:rsidR="00E52A78" w:rsidRPr="00424692" w:rsidRDefault="00E52A78" w:rsidP="0087346E">
            <w:pPr>
              <w:spacing w:before="137"/>
              <w:rPr>
                <w:b/>
                <w:bCs/>
                <w:sz w:val="24"/>
                <w:szCs w:val="24"/>
              </w:rPr>
            </w:pPr>
            <w:r w:rsidRPr="00424692">
              <w:rPr>
                <w:b/>
                <w:bCs/>
                <w:sz w:val="24"/>
                <w:szCs w:val="24"/>
              </w:rPr>
              <w:t>Supplementary Tables</w:t>
            </w:r>
          </w:p>
        </w:tc>
        <w:tc>
          <w:tcPr>
            <w:tcW w:w="506" w:type="dxa"/>
            <w:vAlign w:val="center"/>
          </w:tcPr>
          <w:p w14:paraId="171E4F98" w14:textId="77777777" w:rsidR="00E52A78" w:rsidRPr="00424692" w:rsidRDefault="00E52A78" w:rsidP="0087346E">
            <w:pPr>
              <w:spacing w:before="137"/>
              <w:jc w:val="center"/>
              <w:rPr>
                <w:sz w:val="24"/>
                <w:szCs w:val="24"/>
              </w:rPr>
            </w:pPr>
          </w:p>
        </w:tc>
      </w:tr>
      <w:tr w:rsidR="00E52A78" w:rsidRPr="00424692" w14:paraId="08E582EB" w14:textId="77777777" w:rsidTr="0087346E">
        <w:tc>
          <w:tcPr>
            <w:tcW w:w="9095" w:type="dxa"/>
            <w:vAlign w:val="center"/>
          </w:tcPr>
          <w:p w14:paraId="3739A9D0" w14:textId="78F95BEC" w:rsidR="00E52A78" w:rsidRPr="0087346E" w:rsidRDefault="00E52A78" w:rsidP="0087346E">
            <w:pPr>
              <w:spacing w:before="137"/>
              <w:rPr>
                <w:sz w:val="24"/>
                <w:szCs w:val="24"/>
                <w:lang w:val="id-ID"/>
              </w:rPr>
            </w:pPr>
            <w:r w:rsidRPr="00424692">
              <w:rPr>
                <w:b/>
                <w:bCs/>
                <w:sz w:val="24"/>
                <w:szCs w:val="24"/>
              </w:rPr>
              <w:t>Table S1.</w:t>
            </w:r>
            <w:r w:rsidRPr="00424692">
              <w:rPr>
                <w:sz w:val="24"/>
                <w:szCs w:val="24"/>
              </w:rPr>
              <w:t xml:space="preserve"> </w:t>
            </w:r>
            <w:r w:rsidR="00BE2517" w:rsidRPr="00BE2517">
              <w:rPr>
                <w:sz w:val="24"/>
                <w:szCs w:val="24"/>
                <w:lang w:val="id-ID"/>
              </w:rPr>
              <w:t>Pre-made assays in the TaqMan® SNP Genotyping Assay (Applied Biosystems) used for CaSR SNP genotyping</w:t>
            </w:r>
          </w:p>
        </w:tc>
        <w:tc>
          <w:tcPr>
            <w:tcW w:w="506" w:type="dxa"/>
            <w:vAlign w:val="center"/>
          </w:tcPr>
          <w:p w14:paraId="3A347126" w14:textId="1E94E3EC" w:rsidR="00E52A78" w:rsidRPr="00990B6C" w:rsidRDefault="006E732C" w:rsidP="0087346E">
            <w:pPr>
              <w:spacing w:before="137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</w:tr>
    </w:tbl>
    <w:p w14:paraId="64EED661" w14:textId="77777777" w:rsidR="00E52A78" w:rsidRPr="00424692" w:rsidRDefault="00E52A78" w:rsidP="00E52A78">
      <w:pPr>
        <w:spacing w:before="137"/>
        <w:rPr>
          <w:sz w:val="24"/>
          <w:szCs w:val="24"/>
        </w:rPr>
      </w:pPr>
    </w:p>
    <w:p w14:paraId="15C5AF15" w14:textId="691CF3CA" w:rsidR="00CD4A51" w:rsidRPr="00424692" w:rsidRDefault="00CD4A51" w:rsidP="00CD4A51">
      <w:pPr>
        <w:sectPr w:rsidR="00CD4A51" w:rsidRPr="00424692" w:rsidSect="00E52A78">
          <w:pgSz w:w="12240" w:h="15840"/>
          <w:pgMar w:top="1440" w:right="1183" w:bottom="1440" w:left="1440" w:header="720" w:footer="720" w:gutter="0"/>
          <w:pgNumType w:start="1"/>
          <w:cols w:space="720"/>
        </w:sectPr>
      </w:pPr>
    </w:p>
    <w:p w14:paraId="37FA5E1C" w14:textId="41B72C97" w:rsidR="00990B6C" w:rsidRPr="00AA03E5" w:rsidRDefault="00990B6C" w:rsidP="00990B6C">
      <w:pPr>
        <w:spacing w:line="480" w:lineRule="auto"/>
        <w:jc w:val="both"/>
      </w:pPr>
      <w:r w:rsidRPr="00990B6C">
        <w:rPr>
          <w:b/>
          <w:bCs/>
          <w:lang w:val="id-ID"/>
        </w:rPr>
        <w:lastRenderedPageBreak/>
        <w:t>Table S1.</w:t>
      </w:r>
      <w:r>
        <w:rPr>
          <w:lang w:val="id-ID"/>
        </w:rPr>
        <w:t xml:space="preserve"> </w:t>
      </w:r>
      <w:r w:rsidR="00846C07" w:rsidRPr="00846C07">
        <w:rPr>
          <w:sz w:val="24"/>
          <w:szCs w:val="24"/>
        </w:rPr>
        <w:t xml:space="preserve">Pre-made assays in the TaqMan® SNP Genotyping </w:t>
      </w:r>
      <w:r w:rsidR="00846C07">
        <w:rPr>
          <w:sz w:val="24"/>
          <w:szCs w:val="24"/>
        </w:rPr>
        <w:t>Assay</w:t>
      </w:r>
      <w:r w:rsidR="00846C07" w:rsidRPr="00846C07">
        <w:rPr>
          <w:sz w:val="24"/>
          <w:szCs w:val="24"/>
        </w:rPr>
        <w:t xml:space="preserve"> (Applied Biosystems) used for </w:t>
      </w:r>
      <w:proofErr w:type="spellStart"/>
      <w:r w:rsidR="00846C07" w:rsidRPr="00846C07">
        <w:rPr>
          <w:sz w:val="24"/>
          <w:szCs w:val="24"/>
        </w:rPr>
        <w:t>CaSR</w:t>
      </w:r>
      <w:proofErr w:type="spellEnd"/>
      <w:r w:rsidR="00846C07" w:rsidRPr="00846C07">
        <w:rPr>
          <w:sz w:val="24"/>
          <w:szCs w:val="24"/>
        </w:rPr>
        <w:t xml:space="preserve"> SNP genotyping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3402"/>
        <w:gridCol w:w="992"/>
        <w:gridCol w:w="1366"/>
      </w:tblGrid>
      <w:tr w:rsidR="00846C07" w:rsidRPr="00846C07" w14:paraId="5D5492C4" w14:textId="77777777" w:rsidTr="00485294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1FEC17" w14:textId="77777777" w:rsidR="00846C07" w:rsidRPr="00846C07" w:rsidRDefault="00846C07" w:rsidP="00846C07">
            <w:pPr>
              <w:pStyle w:val="p"/>
              <w:spacing w:before="0" w:beforeAutospacing="0" w:after="0" w:afterAutospacing="0" w:line="276" w:lineRule="auto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Gene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B0E2E1" w14:textId="77777777" w:rsidR="00846C07" w:rsidRPr="00846C07" w:rsidRDefault="00846C07" w:rsidP="00846C07">
            <w:pPr>
              <w:pStyle w:val="p"/>
              <w:spacing w:before="0" w:beforeAutospacing="0" w:after="0" w:afterAutospacing="0" w:line="276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Assay name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FCB83F" w14:textId="77777777" w:rsidR="00846C07" w:rsidRPr="00846C07" w:rsidRDefault="00846C07" w:rsidP="004169B8">
            <w:pPr>
              <w:pStyle w:val="p"/>
              <w:spacing w:before="0" w:beforeAutospacing="0" w:after="0" w:afterAutospacing="0" w:line="276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Context sequence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34F6F7" w14:textId="77777777" w:rsidR="00846C07" w:rsidRPr="00846C07" w:rsidRDefault="00846C07" w:rsidP="004169B8">
            <w:pPr>
              <w:pStyle w:val="p"/>
              <w:spacing w:before="0" w:beforeAutospacing="0" w:after="0" w:afterAutospacing="0" w:line="276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SNP alleles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F356C5" w14:textId="77777777" w:rsidR="00846C07" w:rsidRPr="00846C07" w:rsidRDefault="00846C07" w:rsidP="004169B8">
            <w:pPr>
              <w:pStyle w:val="p"/>
              <w:spacing w:before="0" w:beforeAutospacing="0" w:after="0" w:afterAutospacing="0" w:line="276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Associated probes</w:t>
            </w:r>
          </w:p>
        </w:tc>
      </w:tr>
      <w:tr w:rsidR="00846C07" w:rsidRPr="00846C07" w14:paraId="6A805177" w14:textId="77777777" w:rsidTr="00485294">
        <w:trPr>
          <w:trHeight w:val="393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hideMark/>
          </w:tcPr>
          <w:p w14:paraId="108F42D2" w14:textId="77777777" w:rsidR="00846C07" w:rsidRPr="00846C07" w:rsidRDefault="00846C07" w:rsidP="00846C07">
            <w:pPr>
              <w:pStyle w:val="p"/>
              <w:spacing w:before="0" w:beforeAutospacing="0" w:after="0" w:afterAutospacing="0" w:line="360" w:lineRule="auto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CaSR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hideMark/>
          </w:tcPr>
          <w:p w14:paraId="63032F0E" w14:textId="77777777" w:rsidR="00846C07" w:rsidRPr="00846C07" w:rsidRDefault="00846C07" w:rsidP="00846C07">
            <w:pPr>
              <w:pStyle w:val="Heading3"/>
              <w:shd w:val="clear" w:color="auto" w:fill="FFFFFF"/>
              <w:spacing w:before="0" w:line="360" w:lineRule="auto"/>
              <w:jc w:val="center"/>
              <w:textAlignment w:val="baseline"/>
              <w:rPr>
                <w:noProof/>
                <w:color w:val="auto"/>
                <w:spacing w:val="8"/>
                <w:lang w:val="id-ID"/>
              </w:rPr>
            </w:pPr>
            <w:hyperlink r:id="rId10" w:tgtFrame="_blank" w:history="1">
              <w:r w:rsidRPr="00846C07">
                <w:rPr>
                  <w:rStyle w:val="Hyperlink"/>
                  <w:noProof/>
                  <w:color w:val="auto"/>
                  <w:spacing w:val="8"/>
                  <w:lang w:val="id-ID"/>
                </w:rPr>
                <w:t>C___7504853_20</w:t>
              </w:r>
            </w:hyperlink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hideMark/>
          </w:tcPr>
          <w:p w14:paraId="0C3111D8" w14:textId="77777777" w:rsidR="00846C07" w:rsidRPr="00846C07" w:rsidRDefault="00846C07" w:rsidP="00846C07">
            <w:pPr>
              <w:pStyle w:val="p"/>
              <w:spacing w:before="0" w:beforeAutospacing="0" w:after="0" w:afterAutospacing="0" w:line="360" w:lineRule="auto"/>
              <w:jc w:val="both"/>
              <w:rPr>
                <w:noProof/>
                <w:lang w:val="id-ID"/>
              </w:rPr>
            </w:pPr>
            <w:r w:rsidRPr="00846C07">
              <w:rPr>
                <w:noProof/>
                <w:shd w:val="clear" w:color="auto" w:fill="FFFFFF"/>
                <w:lang w:val="id-ID"/>
              </w:rPr>
              <w:t>GAGCTTTGATGAGCCTCAGAAGAAC</w:t>
            </w:r>
            <w:r w:rsidRPr="00846C07">
              <w:rPr>
                <w:b/>
                <w:bCs/>
                <w:noProof/>
                <w:u w:val="single"/>
                <w:shd w:val="clear" w:color="auto" w:fill="FFFFFF"/>
                <w:lang w:val="id-ID"/>
              </w:rPr>
              <w:t>[G/T]</w:t>
            </w:r>
            <w:r w:rsidRPr="00846C07">
              <w:rPr>
                <w:noProof/>
                <w:shd w:val="clear" w:color="auto" w:fill="FFFFFF"/>
                <w:lang w:val="id-ID"/>
              </w:rPr>
              <w:t>CCATGGCCCACAGGAATTCTACGCA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51863235" w14:textId="77777777" w:rsidR="00846C07" w:rsidRPr="00846C07" w:rsidRDefault="00846C07" w:rsidP="004169B8">
            <w:pPr>
              <w:pStyle w:val="p"/>
              <w:spacing w:before="0" w:beforeAutospacing="0" w:after="0" w:afterAutospacing="0" w:line="360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G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hideMark/>
          </w:tcPr>
          <w:p w14:paraId="2440F193" w14:textId="77777777" w:rsidR="00846C07" w:rsidRPr="00846C07" w:rsidRDefault="00846C07" w:rsidP="004169B8">
            <w:pPr>
              <w:pStyle w:val="p"/>
              <w:spacing w:before="0" w:beforeAutospacing="0" w:after="0" w:afterAutospacing="0" w:line="360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VIC</w:t>
            </w:r>
          </w:p>
        </w:tc>
      </w:tr>
      <w:tr w:rsidR="00846C07" w:rsidRPr="00846C07" w14:paraId="7B05F0FC" w14:textId="77777777" w:rsidTr="00485294">
        <w:tc>
          <w:tcPr>
            <w:tcW w:w="1129" w:type="dxa"/>
            <w:vMerge/>
            <w:vAlign w:val="center"/>
            <w:hideMark/>
          </w:tcPr>
          <w:p w14:paraId="57C243DB" w14:textId="77777777" w:rsidR="00846C07" w:rsidRPr="00846C07" w:rsidRDefault="00846C07" w:rsidP="00846C07">
            <w:pPr>
              <w:rPr>
                <w:noProof/>
                <w:sz w:val="24"/>
                <w:szCs w:val="24"/>
                <w:lang w:val="id-ID" w:eastAsia="en-ID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2B20B8A" w14:textId="77777777" w:rsidR="00846C07" w:rsidRPr="00846C07" w:rsidRDefault="00846C07" w:rsidP="00846C07">
            <w:pPr>
              <w:jc w:val="center"/>
              <w:rPr>
                <w:noProof/>
                <w:spacing w:val="8"/>
                <w:sz w:val="24"/>
                <w:szCs w:val="24"/>
                <w:lang w:val="id-ID" w:eastAsia="en-ID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137184F4" w14:textId="77777777" w:rsidR="00846C07" w:rsidRPr="00846C07" w:rsidRDefault="00846C07" w:rsidP="00846C07">
            <w:pPr>
              <w:jc w:val="both"/>
              <w:rPr>
                <w:noProof/>
                <w:sz w:val="24"/>
                <w:szCs w:val="24"/>
                <w:lang w:val="id-ID" w:eastAsia="en-ID"/>
              </w:rPr>
            </w:pPr>
          </w:p>
        </w:tc>
        <w:tc>
          <w:tcPr>
            <w:tcW w:w="992" w:type="dxa"/>
            <w:hideMark/>
          </w:tcPr>
          <w:p w14:paraId="050633A0" w14:textId="77777777" w:rsidR="00846C07" w:rsidRPr="00846C07" w:rsidRDefault="00846C07" w:rsidP="004169B8">
            <w:pPr>
              <w:pStyle w:val="p"/>
              <w:spacing w:before="0" w:beforeAutospacing="0" w:after="0" w:afterAutospacing="0" w:line="360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T</w:t>
            </w:r>
          </w:p>
        </w:tc>
        <w:tc>
          <w:tcPr>
            <w:tcW w:w="1366" w:type="dxa"/>
            <w:hideMark/>
          </w:tcPr>
          <w:p w14:paraId="59F73054" w14:textId="77777777" w:rsidR="00846C07" w:rsidRPr="00846C07" w:rsidRDefault="00846C07" w:rsidP="004169B8">
            <w:pPr>
              <w:pStyle w:val="p"/>
              <w:spacing w:before="0" w:beforeAutospacing="0" w:after="0" w:afterAutospacing="0" w:line="360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FAM</w:t>
            </w:r>
          </w:p>
        </w:tc>
      </w:tr>
      <w:tr w:rsidR="00846C07" w:rsidRPr="00846C07" w14:paraId="44F5836C" w14:textId="77777777" w:rsidTr="00485294">
        <w:trPr>
          <w:trHeight w:val="491"/>
        </w:trPr>
        <w:tc>
          <w:tcPr>
            <w:tcW w:w="1129" w:type="dxa"/>
            <w:vMerge/>
            <w:vAlign w:val="center"/>
            <w:hideMark/>
          </w:tcPr>
          <w:p w14:paraId="2DFAF806" w14:textId="77777777" w:rsidR="00846C07" w:rsidRPr="00846C07" w:rsidRDefault="00846C07" w:rsidP="00846C07">
            <w:pPr>
              <w:rPr>
                <w:noProof/>
                <w:sz w:val="24"/>
                <w:szCs w:val="24"/>
                <w:lang w:val="id-ID" w:eastAsia="en-ID"/>
              </w:rPr>
            </w:pPr>
          </w:p>
        </w:tc>
        <w:tc>
          <w:tcPr>
            <w:tcW w:w="2127" w:type="dxa"/>
            <w:vMerge w:val="restart"/>
            <w:hideMark/>
          </w:tcPr>
          <w:p w14:paraId="1009B70E" w14:textId="77777777" w:rsidR="00846C07" w:rsidRPr="00846C07" w:rsidRDefault="00846C07" w:rsidP="00846C07">
            <w:pPr>
              <w:pStyle w:val="Heading3"/>
              <w:shd w:val="clear" w:color="auto" w:fill="FFFFFF"/>
              <w:spacing w:before="0" w:line="360" w:lineRule="auto"/>
              <w:jc w:val="center"/>
              <w:textAlignment w:val="baseline"/>
              <w:rPr>
                <w:noProof/>
                <w:spacing w:val="8"/>
                <w:lang w:val="id-ID"/>
              </w:rPr>
            </w:pPr>
            <w:hyperlink r:id="rId11" w:tgtFrame="_blank" w:history="1">
              <w:r w:rsidRPr="00846C07">
                <w:rPr>
                  <w:rStyle w:val="Hyperlink"/>
                  <w:noProof/>
                  <w:color w:val="auto"/>
                  <w:spacing w:val="8"/>
                  <w:lang w:val="id-ID"/>
                </w:rPr>
                <w:t>C___7504854_20</w:t>
              </w:r>
            </w:hyperlink>
          </w:p>
        </w:tc>
        <w:tc>
          <w:tcPr>
            <w:tcW w:w="3402" w:type="dxa"/>
            <w:vMerge w:val="restart"/>
            <w:hideMark/>
          </w:tcPr>
          <w:p w14:paraId="5FC04264" w14:textId="77777777" w:rsidR="00846C07" w:rsidRPr="00846C07" w:rsidRDefault="00846C07" w:rsidP="00846C07">
            <w:pPr>
              <w:pStyle w:val="p"/>
              <w:spacing w:before="0" w:beforeAutospacing="0" w:after="0" w:afterAutospacing="0" w:line="360" w:lineRule="auto"/>
              <w:jc w:val="both"/>
              <w:rPr>
                <w:noProof/>
                <w:shd w:val="clear" w:color="auto" w:fill="FFFFFF"/>
                <w:lang w:val="id-ID"/>
              </w:rPr>
            </w:pPr>
            <w:r w:rsidRPr="00846C07">
              <w:rPr>
                <w:noProof/>
                <w:shd w:val="clear" w:color="auto" w:fill="FFFFFF"/>
                <w:lang w:val="id-ID"/>
              </w:rPr>
              <w:t>GCCTCAGAAGAACGCCATGGCCCAC</w:t>
            </w:r>
            <w:r w:rsidRPr="00846C07">
              <w:rPr>
                <w:b/>
                <w:bCs/>
                <w:noProof/>
                <w:u w:val="single"/>
                <w:shd w:val="clear" w:color="auto" w:fill="FFFFFF"/>
                <w:lang w:val="id-ID"/>
              </w:rPr>
              <w:t>[A/G]</w:t>
            </w:r>
            <w:r w:rsidRPr="00846C07">
              <w:rPr>
                <w:noProof/>
                <w:shd w:val="clear" w:color="auto" w:fill="FFFFFF"/>
                <w:lang w:val="id-ID"/>
              </w:rPr>
              <w:t>GGAATTCTACGCACCAGAACTCCCT</w:t>
            </w:r>
          </w:p>
        </w:tc>
        <w:tc>
          <w:tcPr>
            <w:tcW w:w="992" w:type="dxa"/>
            <w:hideMark/>
          </w:tcPr>
          <w:p w14:paraId="6DBFD9E8" w14:textId="77777777" w:rsidR="00846C07" w:rsidRPr="00846C07" w:rsidRDefault="00846C07" w:rsidP="004169B8">
            <w:pPr>
              <w:pStyle w:val="p"/>
              <w:spacing w:before="0" w:beforeAutospacing="0" w:after="0" w:afterAutospacing="0" w:line="360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A</w:t>
            </w:r>
          </w:p>
        </w:tc>
        <w:tc>
          <w:tcPr>
            <w:tcW w:w="1366" w:type="dxa"/>
            <w:hideMark/>
          </w:tcPr>
          <w:p w14:paraId="7417827A" w14:textId="77777777" w:rsidR="00846C07" w:rsidRPr="00846C07" w:rsidRDefault="00846C07" w:rsidP="004169B8">
            <w:pPr>
              <w:pStyle w:val="p"/>
              <w:spacing w:before="0" w:beforeAutospacing="0" w:after="0" w:afterAutospacing="0" w:line="360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VIC</w:t>
            </w:r>
          </w:p>
        </w:tc>
      </w:tr>
      <w:tr w:rsidR="00846C07" w:rsidRPr="00846C07" w14:paraId="06D6EC18" w14:textId="77777777" w:rsidTr="00485294">
        <w:tc>
          <w:tcPr>
            <w:tcW w:w="1129" w:type="dxa"/>
            <w:vMerge/>
            <w:vAlign w:val="center"/>
            <w:hideMark/>
          </w:tcPr>
          <w:p w14:paraId="19BF9EE1" w14:textId="77777777" w:rsidR="00846C07" w:rsidRPr="00846C07" w:rsidRDefault="00846C07" w:rsidP="00846C07">
            <w:pPr>
              <w:rPr>
                <w:noProof/>
                <w:sz w:val="24"/>
                <w:szCs w:val="24"/>
                <w:lang w:val="id-ID" w:eastAsia="en-ID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673ECCA4" w14:textId="77777777" w:rsidR="00846C07" w:rsidRPr="00846C07" w:rsidRDefault="00846C07" w:rsidP="00846C07">
            <w:pPr>
              <w:jc w:val="center"/>
              <w:rPr>
                <w:noProof/>
                <w:spacing w:val="8"/>
                <w:sz w:val="24"/>
                <w:szCs w:val="24"/>
                <w:lang w:val="id-ID" w:eastAsia="en-ID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6F3DA48A" w14:textId="77777777" w:rsidR="00846C07" w:rsidRPr="00846C07" w:rsidRDefault="00846C07" w:rsidP="004169B8">
            <w:pPr>
              <w:rPr>
                <w:noProof/>
                <w:sz w:val="24"/>
                <w:szCs w:val="24"/>
                <w:shd w:val="clear" w:color="auto" w:fill="FFFFFF"/>
                <w:lang w:val="id-ID" w:eastAsia="en-ID"/>
              </w:rPr>
            </w:pPr>
          </w:p>
        </w:tc>
        <w:tc>
          <w:tcPr>
            <w:tcW w:w="992" w:type="dxa"/>
            <w:hideMark/>
          </w:tcPr>
          <w:p w14:paraId="2ADE30BB" w14:textId="77777777" w:rsidR="00846C07" w:rsidRPr="00846C07" w:rsidRDefault="00846C07" w:rsidP="004169B8">
            <w:pPr>
              <w:pStyle w:val="p"/>
              <w:spacing w:before="0" w:beforeAutospacing="0" w:after="0" w:afterAutospacing="0" w:line="360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G</w:t>
            </w:r>
          </w:p>
        </w:tc>
        <w:tc>
          <w:tcPr>
            <w:tcW w:w="1366" w:type="dxa"/>
            <w:hideMark/>
          </w:tcPr>
          <w:p w14:paraId="29002D4F" w14:textId="77777777" w:rsidR="00846C07" w:rsidRPr="00846C07" w:rsidRDefault="00846C07" w:rsidP="004169B8">
            <w:pPr>
              <w:pStyle w:val="p"/>
              <w:spacing w:before="0" w:beforeAutospacing="0" w:after="0" w:afterAutospacing="0" w:line="360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FAM</w:t>
            </w:r>
          </w:p>
        </w:tc>
      </w:tr>
    </w:tbl>
    <w:p w14:paraId="729CBD27" w14:textId="6EEDABC4" w:rsidR="0086087A" w:rsidRPr="00E0610D" w:rsidRDefault="00846C07" w:rsidP="0086087A">
      <w:pPr>
        <w:spacing w:line="480" w:lineRule="auto"/>
        <w:rPr>
          <w:lang w:val="id-ID"/>
        </w:rPr>
      </w:pPr>
      <w:r>
        <w:rPr>
          <w:lang w:val="id-ID"/>
        </w:rPr>
        <w:t>CaSR=calcium-sensing receptor; SNP=</w:t>
      </w:r>
      <w:r w:rsidRPr="00C92F55">
        <w:rPr>
          <w:sz w:val="24"/>
          <w:szCs w:val="24"/>
          <w:lang w:val="en-ID" w:eastAsia="en-ID"/>
        </w:rPr>
        <w:t>single- nucleotide polymorphism</w:t>
      </w:r>
    </w:p>
    <w:sectPr w:rsidR="0086087A" w:rsidRPr="00E0610D" w:rsidSect="00990B6C"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CC680" w14:textId="77777777" w:rsidR="00553987" w:rsidRDefault="00553987" w:rsidP="008A3065">
      <w:r>
        <w:separator/>
      </w:r>
    </w:p>
  </w:endnote>
  <w:endnote w:type="continuationSeparator" w:id="0">
    <w:p w14:paraId="228E633A" w14:textId="77777777" w:rsidR="00553987" w:rsidRDefault="00553987" w:rsidP="008A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2262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EC56A" w14:textId="56C226BA" w:rsidR="00CD4A51" w:rsidRDefault="00CD4A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B572B0" w14:textId="77777777" w:rsidR="00CD4A51" w:rsidRDefault="00CD4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6676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8D578" w14:textId="2A6CB8FC" w:rsidR="008A3065" w:rsidRDefault="008A30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E8A69A" w14:textId="77777777" w:rsidR="008A3065" w:rsidRDefault="008A3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5394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86471" w14:textId="3A734FFC" w:rsidR="00C338D8" w:rsidRDefault="00C338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69D9B" w14:textId="77777777" w:rsidR="008A3065" w:rsidRDefault="008A3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53A71" w14:textId="77777777" w:rsidR="00553987" w:rsidRDefault="00553987" w:rsidP="008A3065">
      <w:r>
        <w:separator/>
      </w:r>
    </w:p>
  </w:footnote>
  <w:footnote w:type="continuationSeparator" w:id="0">
    <w:p w14:paraId="02C955E0" w14:textId="77777777" w:rsidR="00553987" w:rsidRDefault="00553987" w:rsidP="008A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390E"/>
    <w:multiLevelType w:val="multilevel"/>
    <w:tmpl w:val="37BA5EA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830E82"/>
    <w:multiLevelType w:val="multilevel"/>
    <w:tmpl w:val="771E39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F11FBC"/>
    <w:multiLevelType w:val="hybridMultilevel"/>
    <w:tmpl w:val="471A1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549C"/>
    <w:multiLevelType w:val="hybridMultilevel"/>
    <w:tmpl w:val="6F78B1F8"/>
    <w:lvl w:ilvl="0" w:tplc="F97A67C6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4" w15:restartNumberingAfterBreak="0">
    <w:nsid w:val="0E410F07"/>
    <w:multiLevelType w:val="hybridMultilevel"/>
    <w:tmpl w:val="FBEA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716DE"/>
    <w:multiLevelType w:val="multilevel"/>
    <w:tmpl w:val="12B06A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647B6C"/>
    <w:multiLevelType w:val="hybridMultilevel"/>
    <w:tmpl w:val="743EF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791A"/>
    <w:multiLevelType w:val="hybridMultilevel"/>
    <w:tmpl w:val="4560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61DCD"/>
    <w:multiLevelType w:val="hybridMultilevel"/>
    <w:tmpl w:val="0C184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77BCB"/>
    <w:multiLevelType w:val="hybridMultilevel"/>
    <w:tmpl w:val="E5D00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D14EE"/>
    <w:multiLevelType w:val="multilevel"/>
    <w:tmpl w:val="492EB87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5F14E8"/>
    <w:multiLevelType w:val="hybridMultilevel"/>
    <w:tmpl w:val="97503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86D85"/>
    <w:multiLevelType w:val="hybridMultilevel"/>
    <w:tmpl w:val="8BB8A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96082">
    <w:abstractNumId w:val="4"/>
  </w:num>
  <w:num w:numId="2" w16cid:durableId="35854378">
    <w:abstractNumId w:val="6"/>
  </w:num>
  <w:num w:numId="3" w16cid:durableId="254091602">
    <w:abstractNumId w:val="2"/>
  </w:num>
  <w:num w:numId="4" w16cid:durableId="1523664294">
    <w:abstractNumId w:val="9"/>
  </w:num>
  <w:num w:numId="5" w16cid:durableId="1019240778">
    <w:abstractNumId w:val="11"/>
  </w:num>
  <w:num w:numId="6" w16cid:durableId="2047019071">
    <w:abstractNumId w:val="12"/>
  </w:num>
  <w:num w:numId="7" w16cid:durableId="1047801850">
    <w:abstractNumId w:val="3"/>
  </w:num>
  <w:num w:numId="8" w16cid:durableId="750155733">
    <w:abstractNumId w:val="7"/>
  </w:num>
  <w:num w:numId="9" w16cid:durableId="1255745463">
    <w:abstractNumId w:val="8"/>
  </w:num>
  <w:num w:numId="10" w16cid:durableId="122582861">
    <w:abstractNumId w:val="0"/>
  </w:num>
  <w:num w:numId="11" w16cid:durableId="788355643">
    <w:abstractNumId w:val="1"/>
  </w:num>
  <w:num w:numId="12" w16cid:durableId="1644770090">
    <w:abstractNumId w:val="5"/>
  </w:num>
  <w:num w:numId="13" w16cid:durableId="1551842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63"/>
    <w:rsid w:val="0004167E"/>
    <w:rsid w:val="00086A88"/>
    <w:rsid w:val="00094771"/>
    <w:rsid w:val="00095EFE"/>
    <w:rsid w:val="000A7825"/>
    <w:rsid w:val="000B0314"/>
    <w:rsid w:val="00106238"/>
    <w:rsid w:val="00141344"/>
    <w:rsid w:val="001A3B17"/>
    <w:rsid w:val="001E714D"/>
    <w:rsid w:val="001F1AD1"/>
    <w:rsid w:val="00292D74"/>
    <w:rsid w:val="00424692"/>
    <w:rsid w:val="00485294"/>
    <w:rsid w:val="00503573"/>
    <w:rsid w:val="00520DA9"/>
    <w:rsid w:val="00553987"/>
    <w:rsid w:val="00610B7B"/>
    <w:rsid w:val="006A079F"/>
    <w:rsid w:val="006D627F"/>
    <w:rsid w:val="006E0245"/>
    <w:rsid w:val="006E732C"/>
    <w:rsid w:val="006F3B55"/>
    <w:rsid w:val="00702519"/>
    <w:rsid w:val="00703590"/>
    <w:rsid w:val="007666A9"/>
    <w:rsid w:val="007C2BFB"/>
    <w:rsid w:val="00842033"/>
    <w:rsid w:val="00846C07"/>
    <w:rsid w:val="00854177"/>
    <w:rsid w:val="0086087A"/>
    <w:rsid w:val="0087346E"/>
    <w:rsid w:val="008A28B5"/>
    <w:rsid w:val="008A3065"/>
    <w:rsid w:val="00986B31"/>
    <w:rsid w:val="00990B6C"/>
    <w:rsid w:val="00995C63"/>
    <w:rsid w:val="00AB6219"/>
    <w:rsid w:val="00AD55D2"/>
    <w:rsid w:val="00B94242"/>
    <w:rsid w:val="00BE2517"/>
    <w:rsid w:val="00C03729"/>
    <w:rsid w:val="00C338D8"/>
    <w:rsid w:val="00C44665"/>
    <w:rsid w:val="00C721B8"/>
    <w:rsid w:val="00CD4A51"/>
    <w:rsid w:val="00D76869"/>
    <w:rsid w:val="00E0610D"/>
    <w:rsid w:val="00E1562F"/>
    <w:rsid w:val="00E339D6"/>
    <w:rsid w:val="00E52A78"/>
    <w:rsid w:val="00E77770"/>
    <w:rsid w:val="00F4712C"/>
    <w:rsid w:val="00F643CA"/>
    <w:rsid w:val="00F9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A785"/>
  <w15:docId w15:val="{C25ADF01-08FA-470B-A11C-26FBC508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3079" w:right="309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C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sid w:val="008A3065"/>
    <w:pPr>
      <w:widowControl/>
      <w:autoSpaceDE/>
      <w:autoSpaceDN/>
    </w:pPr>
    <w:rPr>
      <w:sz w:val="20"/>
      <w:szCs w:val="20"/>
      <w:lang w:val="en-ID" w:eastAsia="en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065"/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8A3065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0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A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065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4712C"/>
    <w:pPr>
      <w:keepNext/>
      <w:keepLines/>
      <w:widowControl/>
      <w:suppressAutoHyphens/>
      <w:autoSpaceDE/>
      <w:autoSpaceDN/>
      <w:spacing w:before="480" w:after="120" w:line="480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b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4712C"/>
    <w:rPr>
      <w:rFonts w:ascii="Arial" w:eastAsia="Arial" w:hAnsi="Arial" w:cs="Arial"/>
      <w:b/>
      <w:position w:val="-1"/>
      <w:sz w:val="72"/>
      <w:szCs w:val="72"/>
    </w:rPr>
  </w:style>
  <w:style w:type="paragraph" w:styleId="NormalWeb">
    <w:name w:val="Normal (Web)"/>
    <w:basedOn w:val="Normal"/>
    <w:uiPriority w:val="99"/>
    <w:unhideWhenUsed/>
    <w:rsid w:val="00F4712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/>
    </w:rPr>
  </w:style>
  <w:style w:type="table" w:styleId="TableGrid">
    <w:name w:val="Table Grid"/>
    <w:basedOn w:val="TableNormal"/>
    <w:uiPriority w:val="39"/>
    <w:rsid w:val="00E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D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A9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C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6C07"/>
    <w:rPr>
      <w:color w:val="0000FF"/>
      <w:u w:val="single"/>
    </w:rPr>
  </w:style>
  <w:style w:type="paragraph" w:customStyle="1" w:styleId="p">
    <w:name w:val="p"/>
    <w:basedOn w:val="Normal"/>
    <w:rsid w:val="00846C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rmofisher.com/order/genome-database/details/genotyping/C___7504854_20?CID=&amp;ICID=&amp;subtype=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hermofisher.com/order/genome-database/details/genotyping/C___7504853_20?CID=&amp;ICID=&amp;subtype=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Tsania Faza</cp:lastModifiedBy>
  <cp:revision>12</cp:revision>
  <dcterms:created xsi:type="dcterms:W3CDTF">2023-11-12T16:09:00Z</dcterms:created>
  <dcterms:modified xsi:type="dcterms:W3CDTF">2024-11-08T06:07:00Z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2023-07-04T00:00:00Z</vt:filetime>
  </property>
</Properties>
</file>